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D4" w:rsidRDefault="00D32627">
      <w:pPr>
        <w:tabs>
          <w:tab w:val="center" w:pos="1397"/>
          <w:tab w:val="right" w:pos="1004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18"/>
        </w:rPr>
        <w:tab/>
      </w:r>
    </w:p>
    <w:p w:rsidR="00D635D4" w:rsidRDefault="00D635D4">
      <w:pPr>
        <w:sectPr w:rsidR="00D635D4" w:rsidSect="0039665F">
          <w:pgSz w:w="11520" w:h="15479"/>
          <w:pgMar w:top="675" w:right="1134" w:bottom="1021" w:left="1134" w:header="709" w:footer="709" w:gutter="0"/>
          <w:cols w:space="708"/>
        </w:sectPr>
      </w:pPr>
    </w:p>
    <w:p w:rsidR="0039665F" w:rsidRDefault="0039665F" w:rsidP="0039665F">
      <w:pPr>
        <w:spacing w:after="98" w:line="261" w:lineRule="auto"/>
        <w:ind w:left="0" w:right="0" w:firstLine="0"/>
        <w:jc w:val="left"/>
        <w:rPr>
          <w:rFonts w:eastAsia="Calibri"/>
          <w:b/>
          <w:sz w:val="24"/>
          <w:szCs w:val="24"/>
          <w:lang w:val="en-IE"/>
        </w:rPr>
      </w:pPr>
    </w:p>
    <w:p w:rsidR="009211A8" w:rsidRDefault="00D32627" w:rsidP="00723566">
      <w:pPr>
        <w:spacing w:after="98" w:line="360" w:lineRule="auto"/>
        <w:ind w:left="0" w:right="0" w:firstLine="0"/>
        <w:jc w:val="left"/>
        <w:rPr>
          <w:rFonts w:eastAsia="Calibri"/>
          <w:b/>
          <w:sz w:val="24"/>
          <w:szCs w:val="24"/>
          <w:lang w:val="en-IE"/>
        </w:rPr>
      </w:pPr>
      <w:r w:rsidRPr="009211A8">
        <w:rPr>
          <w:rFonts w:eastAsia="Calibri"/>
          <w:b/>
          <w:sz w:val="24"/>
          <w:szCs w:val="24"/>
          <w:lang w:val="en-IE"/>
        </w:rPr>
        <w:t xml:space="preserve">Concurrent Chemoradiation § </w:t>
      </w:r>
      <w:proofErr w:type="spellStart"/>
      <w:r w:rsidRPr="009211A8">
        <w:rPr>
          <w:rFonts w:eastAsia="Calibri"/>
          <w:b/>
          <w:sz w:val="24"/>
          <w:szCs w:val="24"/>
          <w:lang w:val="en-IE"/>
        </w:rPr>
        <w:t>Atezolizumab</w:t>
      </w:r>
      <w:proofErr w:type="spellEnd"/>
      <w:r w:rsidRPr="009211A8">
        <w:rPr>
          <w:rFonts w:eastAsia="Calibri"/>
          <w:b/>
          <w:sz w:val="24"/>
          <w:szCs w:val="24"/>
          <w:lang w:val="en-IE"/>
        </w:rPr>
        <w:t xml:space="preserve"> (</w:t>
      </w:r>
      <w:proofErr w:type="spellStart"/>
      <w:r w:rsidRPr="009211A8">
        <w:rPr>
          <w:rFonts w:eastAsia="Calibri"/>
          <w:b/>
          <w:sz w:val="24"/>
          <w:szCs w:val="24"/>
          <w:lang w:val="en-IE"/>
        </w:rPr>
        <w:t>atezo</w:t>
      </w:r>
      <w:proofErr w:type="spellEnd"/>
      <w:r w:rsidRPr="009211A8">
        <w:rPr>
          <w:rFonts w:eastAsia="Calibri"/>
          <w:b/>
          <w:sz w:val="24"/>
          <w:szCs w:val="24"/>
          <w:lang w:val="en-IE"/>
        </w:rPr>
        <w:t>) in</w:t>
      </w:r>
      <w:r w:rsidR="009211A8" w:rsidRPr="009211A8">
        <w:rPr>
          <w:b/>
          <w:sz w:val="24"/>
          <w:szCs w:val="24"/>
          <w:lang w:val="en-IE"/>
        </w:rPr>
        <w:t xml:space="preserve"> </w:t>
      </w:r>
      <w:r w:rsidRPr="009211A8">
        <w:rPr>
          <w:rFonts w:eastAsia="Calibri"/>
          <w:b/>
          <w:sz w:val="24"/>
          <w:szCs w:val="24"/>
          <w:lang w:val="en-IE"/>
        </w:rPr>
        <w:t>Limited-Stage Small Cell Lung Cancer (LS-SCLC): Results of</w:t>
      </w:r>
      <w:r w:rsidR="009211A8" w:rsidRPr="009211A8">
        <w:rPr>
          <w:b/>
          <w:sz w:val="24"/>
          <w:szCs w:val="24"/>
          <w:lang w:val="en-IE"/>
        </w:rPr>
        <w:t xml:space="preserve"> </w:t>
      </w:r>
      <w:r w:rsidRPr="009211A8">
        <w:rPr>
          <w:rFonts w:eastAsia="Calibri"/>
          <w:b/>
          <w:sz w:val="24"/>
          <w:szCs w:val="24"/>
          <w:lang w:val="en-IE"/>
        </w:rPr>
        <w:t>NRG Oncology/Alliance LU005</w:t>
      </w:r>
    </w:p>
    <w:p w:rsidR="00723566" w:rsidRPr="00723566" w:rsidRDefault="00723566" w:rsidP="00723566">
      <w:pPr>
        <w:spacing w:after="98" w:line="360" w:lineRule="auto"/>
        <w:ind w:left="0" w:right="0" w:firstLine="0"/>
        <w:jc w:val="left"/>
        <w:rPr>
          <w:rFonts w:eastAsia="Calibri"/>
          <w:b/>
          <w:szCs w:val="16"/>
          <w:lang w:val="en-IE"/>
        </w:rPr>
      </w:pPr>
      <w:bookmarkStart w:id="0" w:name="_GoBack"/>
      <w:bookmarkEnd w:id="0"/>
    </w:p>
    <w:p w:rsidR="009211A8" w:rsidRPr="009211A8" w:rsidRDefault="00D32627" w:rsidP="00723566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39665F">
        <w:rPr>
          <w:sz w:val="20"/>
          <w:szCs w:val="20"/>
          <w:lang w:val="en-IE"/>
        </w:rPr>
        <w:t>K. Higgins,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39665F">
        <w:rPr>
          <w:sz w:val="20"/>
          <w:szCs w:val="20"/>
          <w:lang w:val="en-IE"/>
        </w:rPr>
        <w:t>C. Hu,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2 </w:t>
      </w:r>
      <w:r w:rsidRPr="0039665F">
        <w:rPr>
          <w:sz w:val="20"/>
          <w:szCs w:val="20"/>
          <w:lang w:val="en-IE"/>
        </w:rPr>
        <w:t>H.J. Ross,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39665F">
        <w:rPr>
          <w:sz w:val="20"/>
          <w:szCs w:val="20"/>
          <w:lang w:val="en-IE"/>
        </w:rPr>
        <w:t>S.K. Jabbour,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4 </w:t>
      </w:r>
      <w:r w:rsidRPr="0039665F">
        <w:rPr>
          <w:sz w:val="20"/>
          <w:szCs w:val="20"/>
          <w:lang w:val="en-IE"/>
        </w:rPr>
        <w:t>D.E. Kozono,</w:t>
      </w:r>
      <w:r w:rsidRPr="0039665F">
        <w:rPr>
          <w:color w:val="0080AB"/>
          <w:sz w:val="20"/>
          <w:szCs w:val="20"/>
          <w:vertAlign w:val="superscript"/>
          <w:lang w:val="en-IE"/>
        </w:rPr>
        <w:t>5</w:t>
      </w:r>
      <w:r w:rsidR="009211A8" w:rsidRPr="0039665F">
        <w:rPr>
          <w:sz w:val="20"/>
          <w:szCs w:val="20"/>
          <w:lang w:val="en-IE"/>
        </w:rPr>
        <w:t xml:space="preserve"> </w:t>
      </w:r>
      <w:r w:rsidRPr="0039665F">
        <w:rPr>
          <w:sz w:val="20"/>
          <w:szCs w:val="20"/>
          <w:lang w:val="en-IE"/>
        </w:rPr>
        <w:t>T.K. Owonikoko,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6 </w:t>
      </w:r>
      <w:r w:rsidRPr="0039665F">
        <w:rPr>
          <w:sz w:val="20"/>
          <w:szCs w:val="20"/>
          <w:lang w:val="en-IE"/>
        </w:rPr>
        <w:t>E.G. Dib,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7 </w:t>
      </w:r>
      <w:r w:rsidRPr="0039665F">
        <w:rPr>
          <w:sz w:val="20"/>
          <w:szCs w:val="20"/>
          <w:lang w:val="en-IE"/>
        </w:rPr>
        <w:t>J.M. Brownstein,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8 </w:t>
      </w:r>
      <w:r w:rsidRPr="0039665F">
        <w:rPr>
          <w:sz w:val="20"/>
          <w:szCs w:val="20"/>
          <w:lang w:val="en-IE"/>
        </w:rPr>
        <w:t>C. Kuzma,</w:t>
      </w:r>
      <w:r w:rsidRPr="0039665F">
        <w:rPr>
          <w:color w:val="0080AB"/>
          <w:sz w:val="20"/>
          <w:szCs w:val="20"/>
          <w:vertAlign w:val="superscript"/>
          <w:lang w:val="en-IE"/>
        </w:rPr>
        <w:t xml:space="preserve">9 </w:t>
      </w:r>
      <w:r w:rsidRPr="0039665F">
        <w:rPr>
          <w:sz w:val="20"/>
          <w:szCs w:val="20"/>
          <w:lang w:val="en-IE"/>
        </w:rPr>
        <w:t>R. Kotecha</w:t>
      </w:r>
      <w:r w:rsidRPr="009211A8">
        <w:rPr>
          <w:sz w:val="20"/>
          <w:szCs w:val="20"/>
          <w:lang w:val="en-IE"/>
        </w:rPr>
        <w:t>,</w:t>
      </w:r>
      <w:r w:rsidRPr="009211A8">
        <w:rPr>
          <w:color w:val="0080AB"/>
          <w:sz w:val="20"/>
          <w:szCs w:val="20"/>
          <w:vertAlign w:val="superscript"/>
          <w:lang w:val="en-IE"/>
        </w:rPr>
        <w:t>10</w:t>
      </w:r>
      <w:r w:rsidR="009211A8" w:rsidRPr="009211A8">
        <w:rPr>
          <w:sz w:val="20"/>
          <w:szCs w:val="20"/>
          <w:lang w:val="en-IE"/>
        </w:rPr>
        <w:t xml:space="preserve"> </w:t>
      </w:r>
      <w:r w:rsidRPr="009211A8">
        <w:rPr>
          <w:sz w:val="20"/>
          <w:szCs w:val="20"/>
          <w:lang w:val="en-IE"/>
        </w:rPr>
        <w:t>A.A. Onitilo,</w:t>
      </w:r>
      <w:r w:rsidRPr="009211A8">
        <w:rPr>
          <w:color w:val="0080AB"/>
          <w:sz w:val="20"/>
          <w:szCs w:val="20"/>
          <w:vertAlign w:val="superscript"/>
          <w:lang w:val="en-IE"/>
        </w:rPr>
        <w:t xml:space="preserve">11 </w:t>
      </w:r>
      <w:r w:rsidRPr="009211A8">
        <w:rPr>
          <w:sz w:val="20"/>
          <w:szCs w:val="20"/>
          <w:lang w:val="en-IE"/>
        </w:rPr>
        <w:t>T.E. Stinchcombe,</w:t>
      </w:r>
      <w:r w:rsidRPr="009211A8">
        <w:rPr>
          <w:color w:val="0080AB"/>
          <w:sz w:val="20"/>
          <w:szCs w:val="20"/>
          <w:vertAlign w:val="superscript"/>
          <w:lang w:val="en-IE"/>
        </w:rPr>
        <w:t xml:space="preserve">12 </w:t>
      </w:r>
      <w:r w:rsidRPr="009211A8">
        <w:rPr>
          <w:sz w:val="20"/>
          <w:szCs w:val="20"/>
          <w:lang w:val="en-IE"/>
        </w:rPr>
        <w:t>X. Wang,</w:t>
      </w:r>
      <w:r w:rsidRPr="009211A8">
        <w:rPr>
          <w:color w:val="0080AB"/>
          <w:sz w:val="20"/>
          <w:szCs w:val="20"/>
          <w:vertAlign w:val="superscript"/>
          <w:lang w:val="en-IE"/>
        </w:rPr>
        <w:t xml:space="preserve">13 </w:t>
      </w:r>
      <w:r w:rsidRPr="009211A8">
        <w:rPr>
          <w:sz w:val="20"/>
          <w:szCs w:val="20"/>
          <w:lang w:val="en-IE"/>
        </w:rPr>
        <w:t>R. Paulus,</w:t>
      </w:r>
      <w:r w:rsidRPr="009211A8">
        <w:rPr>
          <w:color w:val="0080AB"/>
          <w:sz w:val="20"/>
          <w:szCs w:val="20"/>
          <w:vertAlign w:val="superscript"/>
          <w:lang w:val="en-IE"/>
        </w:rPr>
        <w:t xml:space="preserve">14 </w:t>
      </w:r>
      <w:r w:rsidRPr="009211A8">
        <w:rPr>
          <w:sz w:val="20"/>
          <w:szCs w:val="20"/>
          <w:lang w:val="en-IE"/>
        </w:rPr>
        <w:t>and J.D. Bradley</w:t>
      </w:r>
      <w:r w:rsidRPr="009211A8">
        <w:rPr>
          <w:color w:val="0080AB"/>
          <w:sz w:val="20"/>
          <w:szCs w:val="20"/>
          <w:vertAlign w:val="superscript"/>
          <w:lang w:val="en-IE"/>
        </w:rPr>
        <w:t>15</w:t>
      </w:r>
      <w:r w:rsidRPr="009211A8">
        <w:rPr>
          <w:sz w:val="20"/>
          <w:szCs w:val="20"/>
          <w:lang w:val="en-IE"/>
        </w:rPr>
        <w:t xml:space="preserve">; </w:t>
      </w:r>
    </w:p>
    <w:p w:rsidR="009211A8" w:rsidRPr="0039665F" w:rsidRDefault="009211A8" w:rsidP="00723566">
      <w:pPr>
        <w:spacing w:after="33" w:line="360" w:lineRule="auto"/>
        <w:ind w:left="-5" w:right="0"/>
        <w:jc w:val="left"/>
        <w:rPr>
          <w:sz w:val="24"/>
          <w:szCs w:val="24"/>
          <w:lang w:val="en-IE"/>
        </w:rPr>
      </w:pPr>
    </w:p>
    <w:p w:rsidR="00D635D4" w:rsidRPr="008E19B9" w:rsidRDefault="00D32627" w:rsidP="00723566">
      <w:pPr>
        <w:spacing w:after="33" w:line="360" w:lineRule="auto"/>
        <w:ind w:left="-5" w:right="0"/>
        <w:jc w:val="left"/>
        <w:rPr>
          <w:i/>
          <w:sz w:val="20"/>
          <w:szCs w:val="20"/>
          <w:lang w:val="en-IE"/>
        </w:rPr>
      </w:pPr>
      <w:r w:rsidRPr="008E19B9">
        <w:rPr>
          <w:i/>
          <w:sz w:val="20"/>
          <w:szCs w:val="20"/>
          <w:vertAlign w:val="superscript"/>
          <w:lang w:val="en-IE"/>
        </w:rPr>
        <w:t>1</w:t>
      </w:r>
      <w:r w:rsidRPr="008E19B9">
        <w:rPr>
          <w:i/>
          <w:sz w:val="20"/>
          <w:szCs w:val="20"/>
          <w:lang w:val="en-IE"/>
        </w:rPr>
        <w:t xml:space="preserve">City of Hope Atlanta, Newnan, GA, </w:t>
      </w:r>
      <w:r w:rsidRPr="008E19B9">
        <w:rPr>
          <w:i/>
          <w:sz w:val="20"/>
          <w:szCs w:val="20"/>
          <w:vertAlign w:val="superscript"/>
          <w:lang w:val="en-IE"/>
        </w:rPr>
        <w:t>2</w:t>
      </w:r>
      <w:r w:rsidRPr="008E19B9">
        <w:rPr>
          <w:i/>
          <w:sz w:val="20"/>
          <w:szCs w:val="20"/>
          <w:lang w:val="en-IE"/>
        </w:rPr>
        <w:t xml:space="preserve">Division of Biostatistics and Bioinformatics, Sidney Kimmel Comprehensive Cancer </w:t>
      </w:r>
      <w:proofErr w:type="spellStart"/>
      <w:r w:rsidRPr="008E19B9">
        <w:rPr>
          <w:i/>
          <w:sz w:val="20"/>
          <w:szCs w:val="20"/>
          <w:lang w:val="en-IE"/>
        </w:rPr>
        <w:t>Center</w:t>
      </w:r>
      <w:proofErr w:type="spellEnd"/>
      <w:r w:rsidRPr="008E19B9">
        <w:rPr>
          <w:i/>
          <w:sz w:val="20"/>
          <w:szCs w:val="20"/>
          <w:lang w:val="en-IE"/>
        </w:rPr>
        <w:t xml:space="preserve">, Johns Hopkins University School of Medicine, Baltimore, MD, </w:t>
      </w:r>
      <w:r w:rsidRPr="008E19B9">
        <w:rPr>
          <w:i/>
          <w:sz w:val="20"/>
          <w:szCs w:val="20"/>
          <w:vertAlign w:val="superscript"/>
          <w:lang w:val="en-IE"/>
        </w:rPr>
        <w:t>3</w:t>
      </w:r>
      <w:r w:rsidRPr="008E19B9">
        <w:rPr>
          <w:i/>
          <w:sz w:val="20"/>
          <w:szCs w:val="20"/>
          <w:lang w:val="en-IE"/>
        </w:rPr>
        <w:t xml:space="preserve">Rush University Medical </w:t>
      </w:r>
      <w:proofErr w:type="spellStart"/>
      <w:r w:rsidRPr="008E19B9">
        <w:rPr>
          <w:i/>
          <w:sz w:val="20"/>
          <w:szCs w:val="20"/>
          <w:lang w:val="en-IE"/>
        </w:rPr>
        <w:t>Center</w:t>
      </w:r>
      <w:proofErr w:type="spellEnd"/>
      <w:r w:rsidRPr="008E19B9">
        <w:rPr>
          <w:i/>
          <w:sz w:val="20"/>
          <w:szCs w:val="20"/>
          <w:lang w:val="en-IE"/>
        </w:rPr>
        <w:t xml:space="preserve">, Chicago, IL, </w:t>
      </w:r>
      <w:r w:rsidRPr="008E19B9">
        <w:rPr>
          <w:i/>
          <w:sz w:val="20"/>
          <w:szCs w:val="20"/>
          <w:vertAlign w:val="superscript"/>
          <w:lang w:val="en-IE"/>
        </w:rPr>
        <w:t>4</w:t>
      </w:r>
      <w:r w:rsidRPr="008E19B9">
        <w:rPr>
          <w:i/>
          <w:sz w:val="20"/>
          <w:szCs w:val="20"/>
          <w:lang w:val="en-IE"/>
        </w:rPr>
        <w:t>Rutgers Cancer Institute of New Jersey,</w:t>
      </w:r>
      <w:r w:rsidR="0039665F">
        <w:rPr>
          <w:i/>
          <w:sz w:val="20"/>
          <w:szCs w:val="20"/>
          <w:lang w:val="en-IE"/>
        </w:rPr>
        <w:t xml:space="preserve"> </w:t>
      </w:r>
      <w:r w:rsidRPr="008E19B9">
        <w:rPr>
          <w:i/>
          <w:sz w:val="20"/>
          <w:szCs w:val="20"/>
          <w:lang w:val="en-IE"/>
        </w:rPr>
        <w:t xml:space="preserve">Department of Radiation Oncology, New Brunswick, NJ, </w:t>
      </w:r>
      <w:r w:rsidRPr="008E19B9">
        <w:rPr>
          <w:i/>
          <w:sz w:val="20"/>
          <w:szCs w:val="20"/>
          <w:vertAlign w:val="superscript"/>
          <w:lang w:val="en-IE"/>
        </w:rPr>
        <w:t>5</w:t>
      </w:r>
      <w:r w:rsidRPr="008E19B9">
        <w:rPr>
          <w:i/>
          <w:sz w:val="20"/>
          <w:szCs w:val="20"/>
          <w:lang w:val="en-IE"/>
        </w:rPr>
        <w:t>Department of</w:t>
      </w:r>
      <w:r w:rsidR="009211A8" w:rsidRPr="008E19B9">
        <w:rPr>
          <w:i/>
          <w:sz w:val="20"/>
          <w:szCs w:val="20"/>
          <w:lang w:val="en-IE"/>
        </w:rPr>
        <w:t xml:space="preserve"> </w:t>
      </w:r>
      <w:r w:rsidRPr="008E19B9">
        <w:rPr>
          <w:i/>
          <w:sz w:val="20"/>
          <w:szCs w:val="20"/>
          <w:lang w:val="en-IE"/>
        </w:rPr>
        <w:t>Radiation Oncology, Dana-Farber Cancer Institute/Brigham and Women</w:t>
      </w:r>
      <w:r w:rsidRPr="008E19B9">
        <w:rPr>
          <w:rFonts w:eastAsia="Calibri"/>
          <w:i/>
          <w:sz w:val="20"/>
          <w:szCs w:val="20"/>
          <w:lang w:val="en-IE"/>
        </w:rPr>
        <w:t>’</w:t>
      </w:r>
      <w:r w:rsidR="0039665F">
        <w:rPr>
          <w:i/>
          <w:sz w:val="20"/>
          <w:szCs w:val="20"/>
          <w:lang w:val="en-IE"/>
        </w:rPr>
        <w:t xml:space="preserve">s </w:t>
      </w:r>
      <w:r w:rsidRPr="008E19B9">
        <w:rPr>
          <w:i/>
          <w:sz w:val="20"/>
          <w:szCs w:val="20"/>
          <w:lang w:val="en-IE"/>
        </w:rPr>
        <w:t xml:space="preserve">Hospital, Harvard Medical School, Boston, MA, </w:t>
      </w:r>
      <w:r w:rsidRPr="008E19B9">
        <w:rPr>
          <w:i/>
          <w:sz w:val="20"/>
          <w:szCs w:val="20"/>
          <w:vertAlign w:val="superscript"/>
          <w:lang w:val="en-IE"/>
        </w:rPr>
        <w:t>6</w:t>
      </w:r>
      <w:r w:rsidRPr="008E19B9">
        <w:rPr>
          <w:i/>
          <w:sz w:val="20"/>
          <w:szCs w:val="20"/>
          <w:lang w:val="en-IE"/>
        </w:rPr>
        <w:t>University of Maryland/</w:t>
      </w:r>
      <w:r w:rsidR="009211A8" w:rsidRPr="008E19B9">
        <w:rPr>
          <w:i/>
          <w:sz w:val="20"/>
          <w:szCs w:val="20"/>
          <w:lang w:val="en-IE"/>
        </w:rPr>
        <w:t xml:space="preserve"> </w:t>
      </w:r>
      <w:proofErr w:type="spellStart"/>
      <w:r w:rsidRPr="008E19B9">
        <w:rPr>
          <w:i/>
          <w:sz w:val="20"/>
          <w:szCs w:val="20"/>
          <w:lang w:val="en-IE"/>
        </w:rPr>
        <w:t>Greenebaum</w:t>
      </w:r>
      <w:proofErr w:type="spellEnd"/>
      <w:r w:rsidRPr="008E19B9">
        <w:rPr>
          <w:i/>
          <w:sz w:val="20"/>
          <w:szCs w:val="20"/>
          <w:lang w:val="en-IE"/>
        </w:rPr>
        <w:t xml:space="preserve"> Cancer </w:t>
      </w:r>
      <w:proofErr w:type="spellStart"/>
      <w:r w:rsidRPr="008E19B9">
        <w:rPr>
          <w:i/>
          <w:sz w:val="20"/>
          <w:szCs w:val="20"/>
          <w:lang w:val="en-IE"/>
        </w:rPr>
        <w:t>Center</w:t>
      </w:r>
      <w:proofErr w:type="spellEnd"/>
      <w:r w:rsidRPr="008E19B9">
        <w:rPr>
          <w:i/>
          <w:sz w:val="20"/>
          <w:szCs w:val="20"/>
          <w:lang w:val="en-IE"/>
        </w:rPr>
        <w:t xml:space="preserve">, Baltimore, MD, </w:t>
      </w:r>
      <w:r w:rsidRPr="008E19B9">
        <w:rPr>
          <w:i/>
          <w:sz w:val="20"/>
          <w:szCs w:val="20"/>
          <w:vertAlign w:val="superscript"/>
          <w:lang w:val="en-IE"/>
        </w:rPr>
        <w:t>7</w:t>
      </w:r>
      <w:r w:rsidRPr="008E19B9">
        <w:rPr>
          <w:i/>
          <w:sz w:val="20"/>
          <w:szCs w:val="20"/>
          <w:lang w:val="en-IE"/>
        </w:rPr>
        <w:t xml:space="preserve">Trinity Health Cancer </w:t>
      </w:r>
      <w:proofErr w:type="spellStart"/>
      <w:r w:rsidRPr="008E19B9">
        <w:rPr>
          <w:i/>
          <w:sz w:val="20"/>
          <w:szCs w:val="20"/>
          <w:lang w:val="en-IE"/>
        </w:rPr>
        <w:t>Center</w:t>
      </w:r>
      <w:proofErr w:type="spellEnd"/>
      <w:r w:rsidRPr="008E19B9">
        <w:rPr>
          <w:i/>
          <w:sz w:val="20"/>
          <w:szCs w:val="20"/>
          <w:lang w:val="en-IE"/>
        </w:rPr>
        <w:t xml:space="preserve">, Ann Arbor, MI, </w:t>
      </w:r>
      <w:r w:rsidRPr="008E19B9">
        <w:rPr>
          <w:i/>
          <w:sz w:val="20"/>
          <w:szCs w:val="20"/>
          <w:vertAlign w:val="superscript"/>
          <w:lang w:val="en-IE"/>
        </w:rPr>
        <w:t>8</w:t>
      </w:r>
      <w:r w:rsidRPr="008E19B9">
        <w:rPr>
          <w:i/>
          <w:sz w:val="20"/>
          <w:szCs w:val="20"/>
          <w:lang w:val="en-IE"/>
        </w:rPr>
        <w:t xml:space="preserve">Department of Radiation Oncology, The Ohio State University Wexner Medical </w:t>
      </w:r>
      <w:proofErr w:type="spellStart"/>
      <w:r w:rsidRPr="008E19B9">
        <w:rPr>
          <w:i/>
          <w:sz w:val="20"/>
          <w:szCs w:val="20"/>
          <w:lang w:val="en-IE"/>
        </w:rPr>
        <w:t>Center</w:t>
      </w:r>
      <w:proofErr w:type="spellEnd"/>
      <w:r w:rsidRPr="008E19B9">
        <w:rPr>
          <w:i/>
          <w:sz w:val="20"/>
          <w:szCs w:val="20"/>
          <w:lang w:val="en-IE"/>
        </w:rPr>
        <w:t xml:space="preserve">, Columbus, OH, </w:t>
      </w:r>
      <w:r w:rsidRPr="008E19B9">
        <w:rPr>
          <w:i/>
          <w:sz w:val="20"/>
          <w:szCs w:val="20"/>
          <w:vertAlign w:val="superscript"/>
          <w:lang w:val="en-IE"/>
        </w:rPr>
        <w:t>9</w:t>
      </w:r>
      <w:r w:rsidRPr="008E19B9">
        <w:rPr>
          <w:i/>
          <w:sz w:val="20"/>
          <w:szCs w:val="20"/>
          <w:lang w:val="en-IE"/>
        </w:rPr>
        <w:t xml:space="preserve">First Health of the Carolinas-Moore Regional Hospital, Pinehurst, NC, </w:t>
      </w:r>
      <w:r w:rsidRPr="008E19B9">
        <w:rPr>
          <w:i/>
          <w:sz w:val="20"/>
          <w:szCs w:val="20"/>
          <w:vertAlign w:val="superscript"/>
          <w:lang w:val="en-IE"/>
        </w:rPr>
        <w:t>10</w:t>
      </w:r>
      <w:r w:rsidRPr="008E19B9">
        <w:rPr>
          <w:i/>
          <w:sz w:val="20"/>
          <w:szCs w:val="20"/>
          <w:lang w:val="en-IE"/>
        </w:rPr>
        <w:t xml:space="preserve">Florida International University, Herbert Wertheim College of Medicine, Miami, FL, </w:t>
      </w:r>
      <w:r w:rsidRPr="008E19B9">
        <w:rPr>
          <w:i/>
          <w:sz w:val="20"/>
          <w:szCs w:val="20"/>
          <w:vertAlign w:val="superscript"/>
          <w:lang w:val="en-IE"/>
        </w:rPr>
        <w:t>11</w:t>
      </w:r>
      <w:r w:rsidRPr="008E19B9">
        <w:rPr>
          <w:i/>
          <w:sz w:val="20"/>
          <w:szCs w:val="20"/>
          <w:lang w:val="en-IE"/>
        </w:rPr>
        <w:t>Marsh</w:t>
      </w:r>
      <w:r w:rsidRPr="008E19B9">
        <w:rPr>
          <w:rFonts w:eastAsia="Calibri"/>
          <w:i/>
          <w:sz w:val="20"/>
          <w:szCs w:val="20"/>
          <w:lang w:val="en-IE"/>
        </w:rPr>
        <w:t>fi</w:t>
      </w:r>
      <w:r w:rsidRPr="008E19B9">
        <w:rPr>
          <w:i/>
          <w:sz w:val="20"/>
          <w:szCs w:val="20"/>
          <w:lang w:val="en-IE"/>
        </w:rPr>
        <w:t xml:space="preserve">eld clinic Health System, Weston, WI, Weston, WI, </w:t>
      </w:r>
      <w:r w:rsidRPr="008E19B9">
        <w:rPr>
          <w:i/>
          <w:sz w:val="20"/>
          <w:szCs w:val="20"/>
          <w:vertAlign w:val="superscript"/>
          <w:lang w:val="en-IE"/>
        </w:rPr>
        <w:t>12</w:t>
      </w:r>
      <w:r w:rsidRPr="008E19B9">
        <w:rPr>
          <w:i/>
          <w:sz w:val="20"/>
          <w:szCs w:val="20"/>
          <w:lang w:val="en-IE"/>
        </w:rPr>
        <w:t xml:space="preserve">Duke University Hospitals, Durham, NC, </w:t>
      </w:r>
      <w:r w:rsidRPr="008E19B9">
        <w:rPr>
          <w:i/>
          <w:sz w:val="20"/>
          <w:szCs w:val="20"/>
          <w:vertAlign w:val="superscript"/>
          <w:lang w:val="en-IE"/>
        </w:rPr>
        <w:t>13</w:t>
      </w:r>
      <w:r w:rsidRPr="008E19B9">
        <w:rPr>
          <w:i/>
          <w:sz w:val="20"/>
          <w:szCs w:val="20"/>
          <w:lang w:val="en-IE"/>
        </w:rPr>
        <w:t xml:space="preserve">Duke University Department of Biostatistics and Bioinformatics, Durham, NC, </w:t>
      </w:r>
      <w:r w:rsidRPr="008E19B9">
        <w:rPr>
          <w:i/>
          <w:sz w:val="20"/>
          <w:szCs w:val="20"/>
          <w:vertAlign w:val="superscript"/>
          <w:lang w:val="en-IE"/>
        </w:rPr>
        <w:t>14</w:t>
      </w:r>
      <w:r w:rsidRPr="008E19B9">
        <w:rPr>
          <w:i/>
          <w:sz w:val="20"/>
          <w:szCs w:val="20"/>
          <w:lang w:val="en-IE"/>
        </w:rPr>
        <w:t xml:space="preserve">NRG Oncology Statistics and Data Management </w:t>
      </w:r>
      <w:proofErr w:type="spellStart"/>
      <w:r w:rsidRPr="008E19B9">
        <w:rPr>
          <w:i/>
          <w:sz w:val="20"/>
          <w:szCs w:val="20"/>
          <w:lang w:val="en-IE"/>
        </w:rPr>
        <w:t>Center</w:t>
      </w:r>
      <w:proofErr w:type="spellEnd"/>
      <w:r w:rsidRPr="008E19B9">
        <w:rPr>
          <w:i/>
          <w:sz w:val="20"/>
          <w:szCs w:val="20"/>
          <w:lang w:val="en-IE"/>
        </w:rPr>
        <w:t xml:space="preserve">, Philadelphia, PA, </w:t>
      </w:r>
      <w:r w:rsidRPr="008E19B9">
        <w:rPr>
          <w:i/>
          <w:sz w:val="20"/>
          <w:szCs w:val="20"/>
          <w:vertAlign w:val="superscript"/>
          <w:lang w:val="en-IE"/>
        </w:rPr>
        <w:t>15</w:t>
      </w:r>
      <w:r w:rsidRPr="008E19B9">
        <w:rPr>
          <w:i/>
          <w:sz w:val="20"/>
          <w:szCs w:val="20"/>
          <w:lang w:val="en-IE"/>
        </w:rPr>
        <w:t>Department of Radiation Oncology, Perelman School of Medicine, University of Pennsylvania, Philadelphia, PA</w:t>
      </w:r>
    </w:p>
    <w:p w:rsidR="009211A8" w:rsidRPr="009211A8" w:rsidRDefault="009211A8" w:rsidP="00723566">
      <w:pPr>
        <w:spacing w:after="33" w:line="360" w:lineRule="auto"/>
        <w:ind w:left="-5" w:right="0"/>
        <w:jc w:val="left"/>
        <w:rPr>
          <w:lang w:val="en-IE"/>
        </w:rPr>
      </w:pPr>
    </w:p>
    <w:p w:rsidR="00D635D4" w:rsidRPr="008E19B9" w:rsidRDefault="00D32627" w:rsidP="00723566">
      <w:pPr>
        <w:spacing w:after="12" w:line="360" w:lineRule="auto"/>
        <w:ind w:left="-5" w:right="0"/>
        <w:jc w:val="left"/>
        <w:rPr>
          <w:sz w:val="20"/>
          <w:szCs w:val="20"/>
          <w:lang w:val="en-IE"/>
        </w:rPr>
      </w:pPr>
      <w:r w:rsidRPr="008E19B9">
        <w:rPr>
          <w:rFonts w:eastAsia="Calibri"/>
          <w:b/>
          <w:sz w:val="20"/>
          <w:szCs w:val="20"/>
          <w:lang w:val="en-IE"/>
        </w:rPr>
        <w:t>Purpose/Objective(s):</w:t>
      </w:r>
      <w:r w:rsidRPr="008E19B9">
        <w:rPr>
          <w:rFonts w:eastAsia="Calibri"/>
          <w:sz w:val="20"/>
          <w:szCs w:val="20"/>
          <w:lang w:val="en-IE"/>
        </w:rPr>
        <w:t xml:space="preserve"> </w:t>
      </w:r>
      <w:r w:rsidRPr="008E19B9">
        <w:rPr>
          <w:sz w:val="20"/>
          <w:szCs w:val="20"/>
          <w:lang w:val="en-IE"/>
        </w:rPr>
        <w:t>Concurrent chemoradiation (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) followed by prophylactic cranial irradiation (PCI) has been the standard of care for LSSCLC for decades. NRG-LU005 (NCT03811002) tested the addition of </w:t>
      </w:r>
      <w:proofErr w:type="spellStart"/>
      <w:r w:rsidRPr="008E19B9">
        <w:rPr>
          <w:sz w:val="20"/>
          <w:szCs w:val="20"/>
          <w:lang w:val="en-IE"/>
        </w:rPr>
        <w:t>atezo</w:t>
      </w:r>
      <w:proofErr w:type="spellEnd"/>
      <w:r w:rsidRPr="008E19B9">
        <w:rPr>
          <w:sz w:val="20"/>
          <w:szCs w:val="20"/>
          <w:lang w:val="en-IE"/>
        </w:rPr>
        <w:t xml:space="preserve"> to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in this open label, randomized phase III international trial. Here, results of the 2nd planned interim analysis are reported as recommended by the Data Monitoring Committee.</w:t>
      </w:r>
    </w:p>
    <w:p w:rsidR="009211A8" w:rsidRPr="008E19B9" w:rsidRDefault="00D32627" w:rsidP="00723566">
      <w:pPr>
        <w:spacing w:after="12" w:line="360" w:lineRule="auto"/>
        <w:ind w:left="-5" w:right="0"/>
        <w:jc w:val="left"/>
        <w:rPr>
          <w:sz w:val="20"/>
          <w:szCs w:val="20"/>
          <w:lang w:val="en-IE"/>
        </w:rPr>
      </w:pPr>
      <w:r w:rsidRPr="008E19B9">
        <w:rPr>
          <w:rFonts w:eastAsia="Calibri"/>
          <w:b/>
          <w:sz w:val="20"/>
          <w:szCs w:val="20"/>
          <w:lang w:val="en-IE"/>
        </w:rPr>
        <w:t>Materials/Methods</w:t>
      </w:r>
      <w:r w:rsidRPr="008E19B9">
        <w:rPr>
          <w:rFonts w:eastAsia="Calibri"/>
          <w:sz w:val="20"/>
          <w:szCs w:val="20"/>
          <w:lang w:val="en-IE"/>
        </w:rPr>
        <w:t xml:space="preserve">: </w:t>
      </w:r>
      <w:r w:rsidRPr="008E19B9">
        <w:rPr>
          <w:sz w:val="20"/>
          <w:szCs w:val="20"/>
          <w:lang w:val="en-IE"/>
        </w:rPr>
        <w:t xml:space="preserve">Patients (pts) with LS-SCLC, stage Tx-4, N0-3, M0 with ECOG performance status (PS) 0-2 were eligible. Pts received one cycle of chemotherapy (platinum/etoposide) prior to study registration and were randomized 1:1 to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versus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plus </w:t>
      </w:r>
      <w:proofErr w:type="spellStart"/>
      <w:r w:rsidRPr="008E19B9">
        <w:rPr>
          <w:sz w:val="20"/>
          <w:szCs w:val="20"/>
          <w:lang w:val="en-IE"/>
        </w:rPr>
        <w:t>atezo</w:t>
      </w:r>
      <w:proofErr w:type="spellEnd"/>
      <w:r w:rsidRPr="008E19B9">
        <w:rPr>
          <w:sz w:val="20"/>
          <w:szCs w:val="20"/>
          <w:lang w:val="en-IE"/>
        </w:rPr>
        <w:t>, 1200 mg IV, every 3 weeks until investigator-assessed progression or intolerable side effects, for a maximum of 17 cycles. Pts were strati</w:t>
      </w:r>
      <w:r w:rsidRPr="008E19B9">
        <w:rPr>
          <w:rFonts w:eastAsia="Calibri"/>
          <w:sz w:val="20"/>
          <w:szCs w:val="20"/>
          <w:lang w:val="en-IE"/>
        </w:rPr>
        <w:t>fi</w:t>
      </w:r>
      <w:r w:rsidRPr="008E19B9">
        <w:rPr>
          <w:sz w:val="20"/>
          <w:szCs w:val="20"/>
          <w:lang w:val="en-IE"/>
        </w:rPr>
        <w:t xml:space="preserve">ed by choice of chemotherapy (cisplatin vs. carboplatin), radiation fractionation schedule (66 </w:t>
      </w:r>
      <w:proofErr w:type="spellStart"/>
      <w:r w:rsidRPr="008E19B9">
        <w:rPr>
          <w:sz w:val="20"/>
          <w:szCs w:val="20"/>
          <w:lang w:val="en-IE"/>
        </w:rPr>
        <w:t>Gy</w:t>
      </w:r>
      <w:proofErr w:type="spellEnd"/>
      <w:r w:rsidRPr="008E19B9">
        <w:rPr>
          <w:sz w:val="20"/>
          <w:szCs w:val="20"/>
          <w:lang w:val="en-IE"/>
        </w:rPr>
        <w:t xml:space="preserve"> once daily vs. 45 </w:t>
      </w:r>
      <w:proofErr w:type="spellStart"/>
      <w:r w:rsidRPr="008E19B9">
        <w:rPr>
          <w:sz w:val="20"/>
          <w:szCs w:val="20"/>
          <w:lang w:val="en-IE"/>
        </w:rPr>
        <w:t>Gy</w:t>
      </w:r>
      <w:proofErr w:type="spellEnd"/>
      <w:r w:rsidRPr="008E19B9">
        <w:rPr>
          <w:sz w:val="20"/>
          <w:szCs w:val="20"/>
          <w:lang w:val="en-IE"/>
        </w:rPr>
        <w:t xml:space="preserve"> twice daily), sex, and PS (0/1 vs. 2). The primary endpoint was overall survival (OS). Secondary endpoints included investigator assessed progression-free survival (PFS), objective response rate (ORR), local control and distant-metastasis free survival (DMFS). PCI was recommended for pts achieving a complete or near-complete response. It was designed to detect an OS improvement with a hazard ratio (HR) of 0.71, at 1-sided alpha of 0.025 and 85% power.</w:t>
      </w:r>
    </w:p>
    <w:p w:rsidR="00D635D4" w:rsidRPr="008E19B9" w:rsidRDefault="00D32627" w:rsidP="00723566">
      <w:pPr>
        <w:spacing w:after="13" w:line="360" w:lineRule="auto"/>
        <w:ind w:left="-5" w:right="0"/>
        <w:jc w:val="left"/>
        <w:rPr>
          <w:sz w:val="20"/>
          <w:szCs w:val="20"/>
          <w:lang w:val="en-IE"/>
        </w:rPr>
      </w:pPr>
      <w:r w:rsidRPr="008E19B9">
        <w:rPr>
          <w:rFonts w:eastAsia="Calibri"/>
          <w:b/>
          <w:sz w:val="20"/>
          <w:szCs w:val="20"/>
          <w:lang w:val="en-IE"/>
        </w:rPr>
        <w:t>Results:</w:t>
      </w:r>
      <w:r w:rsidRPr="008E19B9">
        <w:rPr>
          <w:rFonts w:eastAsia="Calibri"/>
          <w:sz w:val="20"/>
          <w:szCs w:val="20"/>
          <w:lang w:val="en-IE"/>
        </w:rPr>
        <w:t xml:space="preserve"> </w:t>
      </w:r>
      <w:r w:rsidRPr="008E19B9">
        <w:rPr>
          <w:sz w:val="20"/>
          <w:szCs w:val="20"/>
          <w:lang w:val="en-IE"/>
        </w:rPr>
        <w:t xml:space="preserve">544 pts were randomized from May 2019 and December 2023. Baseline </w:t>
      </w:r>
      <w:proofErr w:type="spellStart"/>
      <w:r w:rsidRPr="008E19B9">
        <w:rPr>
          <w:sz w:val="20"/>
          <w:szCs w:val="20"/>
          <w:lang w:val="en-IE"/>
        </w:rPr>
        <w:t>pt</w:t>
      </w:r>
      <w:proofErr w:type="spellEnd"/>
      <w:r w:rsidRPr="008E19B9">
        <w:rPr>
          <w:sz w:val="20"/>
          <w:szCs w:val="20"/>
          <w:lang w:val="en-IE"/>
        </w:rPr>
        <w:t xml:space="preserve"> characteristics were well balanced. 47.2% of pts received twice daily radiation (BID). Median follow up was 21.0 months (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) for all pts. The 1, 2 and 3-year OS rates were 82.6% (95% CI 77.2 - 86.9), 62.9% (95% CI 56.2 - 69.0) and 50.3% (95% CI 42.3 - 57.8) for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, and 80.2% (95% CI 74.7 - 84.6), 58.6% (95% CI 52.1- 64.6) and 44.7% (95% </w:t>
      </w:r>
      <w:r w:rsidRPr="008E19B9">
        <w:rPr>
          <w:sz w:val="20"/>
          <w:szCs w:val="20"/>
          <w:lang w:val="en-IE"/>
        </w:rPr>
        <w:lastRenderedPageBreak/>
        <w:t xml:space="preserve">CI 36.6 - 52.4) for </w:t>
      </w:r>
      <w:proofErr w:type="spellStart"/>
      <w:r w:rsidRPr="008E19B9">
        <w:rPr>
          <w:sz w:val="20"/>
          <w:szCs w:val="20"/>
          <w:lang w:val="en-IE"/>
        </w:rPr>
        <w:t>atezo+cCRT</w:t>
      </w:r>
      <w:proofErr w:type="spellEnd"/>
      <w:r w:rsidRPr="008E19B9">
        <w:rPr>
          <w:sz w:val="20"/>
          <w:szCs w:val="20"/>
          <w:lang w:val="en-IE"/>
        </w:rPr>
        <w:t xml:space="preserve">. Median OS was 39.5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(95% CI 27.5 - Not reached) and 33.1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(95% CI 27.8 - 43.9) for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and </w:t>
      </w:r>
      <w:proofErr w:type="spellStart"/>
      <w:r w:rsidRPr="008E19B9">
        <w:rPr>
          <w:sz w:val="20"/>
          <w:szCs w:val="20"/>
          <w:lang w:val="en-IE"/>
        </w:rPr>
        <w:t>atezo+cCRT</w:t>
      </w:r>
      <w:proofErr w:type="spellEnd"/>
      <w:r w:rsidRPr="008E19B9">
        <w:rPr>
          <w:sz w:val="20"/>
          <w:szCs w:val="20"/>
          <w:lang w:val="en-IE"/>
        </w:rPr>
        <w:t xml:space="preserve">, respectively (HR= 1.11, 95% CI: 0.85-1.45). Median PFS was 11.5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(95% CI: 10.713.4) and 12.0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(95% CI: 10.8-15.1) for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and </w:t>
      </w:r>
      <w:proofErr w:type="spellStart"/>
      <w:r w:rsidRPr="008E19B9">
        <w:rPr>
          <w:sz w:val="20"/>
          <w:szCs w:val="20"/>
          <w:lang w:val="en-IE"/>
        </w:rPr>
        <w:t>atezo+cCRT</w:t>
      </w:r>
      <w:proofErr w:type="spellEnd"/>
      <w:r w:rsidRPr="008E19B9">
        <w:rPr>
          <w:sz w:val="20"/>
          <w:szCs w:val="20"/>
          <w:lang w:val="en-IE"/>
        </w:rPr>
        <w:t xml:space="preserve">, respectively (HR=1.00, 95% CI: 0.80-1.25). Median DMFS was 13.2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(95% CI: 11.3-18.2) and 16.8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(95% CI: 12.0-23.5) for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and </w:t>
      </w:r>
      <w:proofErr w:type="spellStart"/>
      <w:r w:rsidRPr="008E19B9">
        <w:rPr>
          <w:sz w:val="20"/>
          <w:szCs w:val="20"/>
          <w:lang w:val="en-IE"/>
        </w:rPr>
        <w:t>atezo+cCRT</w:t>
      </w:r>
      <w:proofErr w:type="spellEnd"/>
      <w:r w:rsidRPr="008E19B9">
        <w:rPr>
          <w:sz w:val="20"/>
          <w:szCs w:val="20"/>
          <w:lang w:val="en-IE"/>
        </w:rPr>
        <w:t xml:space="preserve">, respectively (HR=0.95, 95% CI:0.75-1.21). Cumulative incidence of local failure at 24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was 14.4% (95% CI: 10.1 -19.5) and 13.1% (95% CI: 9.0 -</w:t>
      </w:r>
    </w:p>
    <w:p w:rsidR="00D635D4" w:rsidRPr="008E19B9" w:rsidRDefault="00D32627" w:rsidP="00723566">
      <w:pPr>
        <w:spacing w:after="67" w:line="360" w:lineRule="auto"/>
        <w:ind w:left="-5" w:right="0"/>
        <w:jc w:val="left"/>
        <w:rPr>
          <w:sz w:val="20"/>
          <w:szCs w:val="20"/>
          <w:lang w:val="en-IE"/>
        </w:rPr>
      </w:pPr>
      <w:r w:rsidRPr="008E19B9">
        <w:rPr>
          <w:sz w:val="20"/>
          <w:szCs w:val="20"/>
          <w:lang w:val="en-IE"/>
        </w:rPr>
        <w:t xml:space="preserve">18.1) for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and </w:t>
      </w:r>
      <w:proofErr w:type="spellStart"/>
      <w:r w:rsidRPr="008E19B9">
        <w:rPr>
          <w:sz w:val="20"/>
          <w:szCs w:val="20"/>
          <w:lang w:val="en-IE"/>
        </w:rPr>
        <w:t>atezo+cCRT</w:t>
      </w:r>
      <w:proofErr w:type="spellEnd"/>
      <w:r w:rsidRPr="008E19B9">
        <w:rPr>
          <w:sz w:val="20"/>
          <w:szCs w:val="20"/>
          <w:lang w:val="en-IE"/>
        </w:rPr>
        <w:t xml:space="preserve">, respectively (HR=0.84, 95% CI: 0.501.40). Complete or partial response was achieved in 58.5% and 59.1% on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and </w:t>
      </w:r>
      <w:proofErr w:type="spellStart"/>
      <w:r w:rsidRPr="008E19B9">
        <w:rPr>
          <w:sz w:val="20"/>
          <w:szCs w:val="20"/>
          <w:lang w:val="en-IE"/>
        </w:rPr>
        <w:t>atezo+cCRT</w:t>
      </w:r>
      <w:proofErr w:type="spellEnd"/>
      <w:r w:rsidRPr="008E19B9">
        <w:rPr>
          <w:sz w:val="20"/>
          <w:szCs w:val="20"/>
          <w:lang w:val="en-IE"/>
        </w:rPr>
        <w:t xml:space="preserve">. Grade 3+ pneumonitis was 3.1% and 5.6% on 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 and </w:t>
      </w:r>
      <w:proofErr w:type="spellStart"/>
      <w:r w:rsidRPr="008E19B9">
        <w:rPr>
          <w:sz w:val="20"/>
          <w:szCs w:val="20"/>
          <w:lang w:val="en-IE"/>
        </w:rPr>
        <w:t>atezo+cCRT</w:t>
      </w:r>
      <w:proofErr w:type="spellEnd"/>
      <w:r w:rsidRPr="008E19B9">
        <w:rPr>
          <w:sz w:val="20"/>
          <w:szCs w:val="20"/>
          <w:lang w:val="en-IE"/>
        </w:rPr>
        <w:t xml:space="preserve">. There were no concerning safety signals for </w:t>
      </w:r>
      <w:proofErr w:type="spellStart"/>
      <w:r w:rsidRPr="008E19B9">
        <w:rPr>
          <w:sz w:val="20"/>
          <w:szCs w:val="20"/>
          <w:lang w:val="en-IE"/>
        </w:rPr>
        <w:t>atezo</w:t>
      </w:r>
      <w:proofErr w:type="spellEnd"/>
      <w:r w:rsidRPr="008E19B9">
        <w:rPr>
          <w:sz w:val="20"/>
          <w:szCs w:val="20"/>
          <w:lang w:val="en-IE"/>
        </w:rPr>
        <w:t xml:space="preserve"> +</w:t>
      </w:r>
      <w:proofErr w:type="spellStart"/>
      <w:r w:rsidRPr="008E19B9">
        <w:rPr>
          <w:sz w:val="20"/>
          <w:szCs w:val="20"/>
          <w:lang w:val="en-IE"/>
        </w:rPr>
        <w:t>cCRT</w:t>
      </w:r>
      <w:proofErr w:type="spellEnd"/>
      <w:r w:rsidRPr="008E19B9">
        <w:rPr>
          <w:sz w:val="20"/>
          <w:szCs w:val="20"/>
          <w:lang w:val="en-IE"/>
        </w:rPr>
        <w:t xml:space="preserve">. Regardless of the receipt of </w:t>
      </w:r>
      <w:proofErr w:type="spellStart"/>
      <w:r w:rsidRPr="008E19B9">
        <w:rPr>
          <w:sz w:val="20"/>
          <w:szCs w:val="20"/>
          <w:lang w:val="en-IE"/>
        </w:rPr>
        <w:t>atezo</w:t>
      </w:r>
      <w:proofErr w:type="spellEnd"/>
      <w:r w:rsidRPr="008E19B9">
        <w:rPr>
          <w:sz w:val="20"/>
          <w:szCs w:val="20"/>
          <w:lang w:val="en-IE"/>
        </w:rPr>
        <w:t xml:space="preserve">, pts treated with BID had higher survival (median OS 35.4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, 95% CI: 32.3 - not reached) than daily RT (median OS 28.3 </w:t>
      </w:r>
      <w:proofErr w:type="spellStart"/>
      <w:r w:rsidRPr="008E19B9">
        <w:rPr>
          <w:sz w:val="20"/>
          <w:szCs w:val="20"/>
          <w:lang w:val="en-IE"/>
        </w:rPr>
        <w:t>mos</w:t>
      </w:r>
      <w:proofErr w:type="spellEnd"/>
      <w:r w:rsidRPr="008E19B9">
        <w:rPr>
          <w:sz w:val="20"/>
          <w:szCs w:val="20"/>
          <w:lang w:val="en-IE"/>
        </w:rPr>
        <w:t xml:space="preserve"> 95% CI: 21.7 - 40.6; HR=1.44, 95% CI: 1.10-1.89).</w:t>
      </w:r>
      <w:r w:rsidR="0039665F">
        <w:rPr>
          <w:sz w:val="20"/>
          <w:szCs w:val="20"/>
          <w:lang w:val="en-IE"/>
        </w:rPr>
        <w:br/>
      </w:r>
      <w:r w:rsidRPr="008E19B9">
        <w:rPr>
          <w:rFonts w:eastAsia="Calibri"/>
          <w:b/>
          <w:sz w:val="20"/>
          <w:szCs w:val="20"/>
          <w:lang w:val="en-IE"/>
        </w:rPr>
        <w:t>Conclusion</w:t>
      </w:r>
      <w:r w:rsidRPr="008E19B9">
        <w:rPr>
          <w:rFonts w:eastAsia="Calibri"/>
          <w:sz w:val="20"/>
          <w:szCs w:val="20"/>
          <w:lang w:val="en-IE"/>
        </w:rPr>
        <w:t xml:space="preserve">: </w:t>
      </w:r>
      <w:r w:rsidRPr="008E19B9">
        <w:rPr>
          <w:sz w:val="20"/>
          <w:szCs w:val="20"/>
          <w:lang w:val="en-IE"/>
        </w:rPr>
        <w:t xml:space="preserve">Chemoradiation with concurrent and consolidation </w:t>
      </w:r>
      <w:proofErr w:type="spellStart"/>
      <w:r w:rsidRPr="008E19B9">
        <w:rPr>
          <w:sz w:val="20"/>
          <w:szCs w:val="20"/>
          <w:lang w:val="en-IE"/>
        </w:rPr>
        <w:t>atezo</w:t>
      </w:r>
      <w:proofErr w:type="spellEnd"/>
      <w:r w:rsidRPr="008E19B9">
        <w:rPr>
          <w:sz w:val="20"/>
          <w:szCs w:val="20"/>
          <w:lang w:val="en-IE"/>
        </w:rPr>
        <w:t xml:space="preserve"> did not improve survival in LS-SCLC.</w:t>
      </w:r>
    </w:p>
    <w:sectPr w:rsidR="00D635D4" w:rsidRPr="008E19B9" w:rsidSect="0039665F">
      <w:type w:val="continuous"/>
      <w:pgSz w:w="11520" w:h="15479"/>
      <w:pgMar w:top="1276" w:right="1314" w:bottom="568" w:left="1276" w:header="708" w:footer="708" w:gutter="0"/>
      <w:cols w:space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D4"/>
    <w:rsid w:val="0039665F"/>
    <w:rsid w:val="005967B7"/>
    <w:rsid w:val="00723566"/>
    <w:rsid w:val="008E19B9"/>
    <w:rsid w:val="009211A8"/>
    <w:rsid w:val="00A0025C"/>
    <w:rsid w:val="00D32627"/>
    <w:rsid w:val="00D635D4"/>
    <w:rsid w:val="00D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64F4"/>
  <w15:docId w15:val="{DD5A087A-DF8C-4384-91A9-C2BEE5F3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3" w:line="265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0C12-7CCD-4C96-B6D2-6B66BACA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Eva</dc:creator>
  <cp:keywords/>
  <cp:lastModifiedBy>Vyroubalová Eva</cp:lastModifiedBy>
  <cp:revision>7</cp:revision>
  <dcterms:created xsi:type="dcterms:W3CDTF">2024-11-06T09:48:00Z</dcterms:created>
  <dcterms:modified xsi:type="dcterms:W3CDTF">2024-11-11T07:49:00Z</dcterms:modified>
</cp:coreProperties>
</file>