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BE" w:rsidRDefault="00C403BE" w:rsidP="00C403BE">
      <w:pPr>
        <w:spacing w:after="4" w:line="254" w:lineRule="auto"/>
        <w:ind w:left="0" w:right="344" w:firstLine="0"/>
        <w:jc w:val="left"/>
      </w:pPr>
    </w:p>
    <w:p w:rsidR="00C403BE" w:rsidRDefault="00C403BE" w:rsidP="00C403BE">
      <w:pPr>
        <w:spacing w:after="4" w:line="254" w:lineRule="auto"/>
        <w:ind w:left="0" w:right="344" w:firstLine="0"/>
        <w:jc w:val="left"/>
        <w:rPr>
          <w:rFonts w:ascii="Calibri" w:eastAsia="Calibri" w:hAnsi="Calibri" w:cs="Calibri"/>
        </w:rPr>
        <w:sectPr w:rsidR="00C403BE">
          <w:type w:val="continuous"/>
          <w:pgSz w:w="11520" w:h="15479"/>
          <w:pgMar w:top="674" w:right="717" w:bottom="787" w:left="718" w:header="708" w:footer="708" w:gutter="0"/>
          <w:cols w:space="708"/>
        </w:sectPr>
      </w:pPr>
    </w:p>
    <w:p w:rsidR="00C403BE" w:rsidRDefault="00C403BE" w:rsidP="00C403BE">
      <w:pPr>
        <w:spacing w:after="4" w:line="254" w:lineRule="auto"/>
        <w:ind w:left="0" w:right="344" w:firstLine="0"/>
        <w:jc w:val="left"/>
        <w:rPr>
          <w:rFonts w:eastAsia="Calibri"/>
          <w:b/>
          <w:sz w:val="24"/>
          <w:szCs w:val="24"/>
        </w:rPr>
      </w:pPr>
    </w:p>
    <w:p w:rsidR="000F2D13" w:rsidRDefault="00D65584" w:rsidP="00DE1290">
      <w:pPr>
        <w:spacing w:after="4" w:line="360" w:lineRule="auto"/>
        <w:ind w:left="0" w:right="344" w:firstLine="0"/>
        <w:jc w:val="left"/>
        <w:rPr>
          <w:rFonts w:eastAsia="Calibri"/>
          <w:b/>
          <w:sz w:val="24"/>
          <w:szCs w:val="24"/>
          <w:lang w:val="en-IE"/>
        </w:rPr>
      </w:pPr>
      <w:r w:rsidRPr="00C403BE">
        <w:rPr>
          <w:rFonts w:eastAsia="Calibri"/>
          <w:b/>
          <w:sz w:val="24"/>
          <w:szCs w:val="24"/>
          <w:lang w:val="en-IE"/>
        </w:rPr>
        <w:t>Short-Term Androgen Deprivation Therapy and High-Dose</w:t>
      </w:r>
      <w:r w:rsidR="00C403BE">
        <w:rPr>
          <w:b/>
          <w:sz w:val="24"/>
          <w:szCs w:val="24"/>
          <w:lang w:val="en-IE"/>
        </w:rPr>
        <w:t xml:space="preserve"> </w:t>
      </w:r>
      <w:r w:rsidRPr="00C403BE">
        <w:rPr>
          <w:rFonts w:eastAsia="Calibri"/>
          <w:b/>
          <w:sz w:val="24"/>
          <w:szCs w:val="24"/>
          <w:lang w:val="en-IE"/>
        </w:rPr>
        <w:t>Radiotherapy in Intermediate- and High-Risk Localized</w:t>
      </w:r>
      <w:r w:rsidR="00C403BE">
        <w:rPr>
          <w:b/>
          <w:sz w:val="24"/>
          <w:szCs w:val="24"/>
          <w:lang w:val="en-IE"/>
        </w:rPr>
        <w:t xml:space="preserve"> </w:t>
      </w:r>
      <w:r w:rsidRPr="00C403BE">
        <w:rPr>
          <w:rFonts w:eastAsia="Calibri"/>
          <w:b/>
          <w:sz w:val="24"/>
          <w:szCs w:val="24"/>
          <w:lang w:val="en-IE"/>
        </w:rPr>
        <w:t>Prostate Cancer: Results from the GETUG 14 Randomized Phase III Trial</w:t>
      </w:r>
    </w:p>
    <w:p w:rsidR="00C403BE" w:rsidRPr="00C403BE" w:rsidRDefault="00C403BE" w:rsidP="00DE1290">
      <w:pPr>
        <w:spacing w:after="4" w:line="360" w:lineRule="auto"/>
        <w:ind w:left="0" w:right="344" w:firstLine="0"/>
        <w:jc w:val="left"/>
        <w:rPr>
          <w:b/>
          <w:sz w:val="24"/>
          <w:szCs w:val="24"/>
          <w:lang w:val="en-IE"/>
        </w:rPr>
      </w:pPr>
    </w:p>
    <w:p w:rsidR="00C403BE" w:rsidRPr="00C403BE" w:rsidRDefault="00D65584" w:rsidP="00DE1290">
      <w:pPr>
        <w:spacing w:after="46" w:line="360" w:lineRule="auto"/>
        <w:ind w:left="-5"/>
        <w:jc w:val="left"/>
        <w:rPr>
          <w:sz w:val="20"/>
          <w:szCs w:val="20"/>
          <w:lang w:val="en-IE"/>
        </w:rPr>
      </w:pPr>
      <w:r w:rsidRPr="00C403BE">
        <w:rPr>
          <w:sz w:val="20"/>
          <w:szCs w:val="20"/>
          <w:lang w:val="en-IE"/>
        </w:rPr>
        <w:t>N. Demogeot,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C403BE">
        <w:rPr>
          <w:sz w:val="20"/>
          <w:szCs w:val="20"/>
          <w:lang w:val="en-IE"/>
        </w:rPr>
        <w:t>P. Sargos,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2 </w:t>
      </w:r>
      <w:r w:rsidRPr="00C403BE">
        <w:rPr>
          <w:sz w:val="20"/>
          <w:szCs w:val="20"/>
          <w:lang w:val="en-IE"/>
        </w:rPr>
        <w:t>N. Sahki,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C403BE">
        <w:rPr>
          <w:sz w:val="20"/>
          <w:szCs w:val="20"/>
          <w:lang w:val="en-IE"/>
        </w:rPr>
        <w:t>S. Guerif,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4 </w:t>
      </w:r>
      <w:r w:rsidRPr="00C403BE">
        <w:rPr>
          <w:sz w:val="20"/>
          <w:szCs w:val="20"/>
          <w:lang w:val="en-IE"/>
        </w:rPr>
        <w:t>R. De Crevoisier,</w:t>
      </w:r>
      <w:r w:rsidRPr="00C403BE">
        <w:rPr>
          <w:color w:val="0080AB"/>
          <w:sz w:val="20"/>
          <w:szCs w:val="20"/>
          <w:vertAlign w:val="superscript"/>
          <w:lang w:val="en-IE"/>
        </w:rPr>
        <w:t>5</w:t>
      </w:r>
      <w:r w:rsidR="00C403BE" w:rsidRPr="00C403BE">
        <w:rPr>
          <w:sz w:val="20"/>
          <w:szCs w:val="20"/>
          <w:lang w:val="en-IE"/>
        </w:rPr>
        <w:t xml:space="preserve"> </w:t>
      </w:r>
      <w:r w:rsidRPr="00C403BE">
        <w:rPr>
          <w:sz w:val="20"/>
          <w:szCs w:val="20"/>
          <w:lang w:val="en-IE"/>
        </w:rPr>
        <w:t>G. Calais,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6 </w:t>
      </w:r>
      <w:r w:rsidRPr="00C403BE">
        <w:rPr>
          <w:sz w:val="20"/>
          <w:szCs w:val="20"/>
          <w:lang w:val="en-IE"/>
        </w:rPr>
        <w:t>J.M. Hannoun-Levi,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7 </w:t>
      </w:r>
      <w:r w:rsidRPr="00C403BE">
        <w:rPr>
          <w:sz w:val="20"/>
          <w:szCs w:val="20"/>
          <w:lang w:val="en-IE"/>
        </w:rPr>
        <w:t>G. Bouche,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8 </w:t>
      </w:r>
      <w:r w:rsidRPr="00C403BE">
        <w:rPr>
          <w:sz w:val="20"/>
          <w:szCs w:val="20"/>
          <w:lang w:val="en-IE"/>
        </w:rPr>
        <w:t>C. Hennequin,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9 </w:t>
      </w:r>
      <w:r w:rsidRPr="00C403BE">
        <w:rPr>
          <w:sz w:val="20"/>
          <w:szCs w:val="20"/>
          <w:lang w:val="en-IE"/>
        </w:rPr>
        <w:t>J. Cretin,</w:t>
      </w:r>
      <w:r w:rsidRPr="00C403BE">
        <w:rPr>
          <w:color w:val="0080AB"/>
          <w:sz w:val="20"/>
          <w:szCs w:val="20"/>
          <w:vertAlign w:val="superscript"/>
          <w:lang w:val="en-IE"/>
        </w:rPr>
        <w:t>10</w:t>
      </w:r>
      <w:r w:rsidR="00C403BE" w:rsidRPr="00C403BE">
        <w:rPr>
          <w:color w:val="0080AB"/>
          <w:sz w:val="20"/>
          <w:szCs w:val="20"/>
          <w:vertAlign w:val="superscript"/>
          <w:lang w:val="en-IE"/>
        </w:rPr>
        <w:t xml:space="preserve"> </w:t>
      </w:r>
      <w:r w:rsidRPr="00C403BE">
        <w:rPr>
          <w:sz w:val="20"/>
          <w:szCs w:val="20"/>
          <w:lang w:val="en-IE"/>
        </w:rPr>
        <w:t>Y. Belkacemi,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11 </w:t>
      </w:r>
      <w:r w:rsidRPr="00C403BE">
        <w:rPr>
          <w:sz w:val="20"/>
          <w:szCs w:val="20"/>
          <w:lang w:val="en-IE"/>
        </w:rPr>
        <w:t>J. Khalifa,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12 </w:t>
      </w:r>
      <w:r w:rsidRPr="00C403BE">
        <w:rPr>
          <w:sz w:val="20"/>
          <w:szCs w:val="20"/>
          <w:lang w:val="en-IE"/>
        </w:rPr>
        <w:t>D. Azria,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13 </w:t>
      </w:r>
      <w:r w:rsidRPr="00C403BE">
        <w:rPr>
          <w:sz w:val="20"/>
          <w:szCs w:val="20"/>
          <w:lang w:val="en-IE"/>
        </w:rPr>
        <w:t>N. Bauer,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14 </w:t>
      </w:r>
      <w:r w:rsidRPr="00C403BE">
        <w:rPr>
          <w:sz w:val="20"/>
          <w:szCs w:val="20"/>
          <w:lang w:val="en-IE"/>
        </w:rPr>
        <w:t>P. Pommier,</w:t>
      </w:r>
      <w:r w:rsidRPr="00C403BE">
        <w:rPr>
          <w:color w:val="0080AB"/>
          <w:sz w:val="20"/>
          <w:szCs w:val="20"/>
          <w:vertAlign w:val="superscript"/>
          <w:lang w:val="en-IE"/>
        </w:rPr>
        <w:t>15</w:t>
      </w:r>
      <w:r w:rsidR="00C403BE" w:rsidRPr="00C403BE">
        <w:rPr>
          <w:sz w:val="20"/>
          <w:szCs w:val="20"/>
          <w:lang w:val="en-IE"/>
        </w:rPr>
        <w:t xml:space="preserve"> </w:t>
      </w:r>
      <w:r w:rsidRPr="00C403BE">
        <w:rPr>
          <w:sz w:val="20"/>
          <w:szCs w:val="20"/>
          <w:lang w:val="en-IE"/>
        </w:rPr>
        <w:t>P. Pommier,</w:t>
      </w:r>
      <w:r w:rsidRPr="00C403BE">
        <w:rPr>
          <w:color w:val="0080AB"/>
          <w:sz w:val="20"/>
          <w:szCs w:val="20"/>
          <w:vertAlign w:val="superscript"/>
          <w:lang w:val="en-IE"/>
        </w:rPr>
        <w:t>16</w:t>
      </w:r>
      <w:r w:rsidRPr="00C403BE">
        <w:rPr>
          <w:sz w:val="20"/>
          <w:szCs w:val="20"/>
          <w:vertAlign w:val="superscript"/>
          <w:lang w:val="en-IE"/>
        </w:rPr>
        <w:t>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17 </w:t>
      </w:r>
      <w:r w:rsidRPr="00C403BE">
        <w:rPr>
          <w:sz w:val="20"/>
          <w:szCs w:val="20"/>
          <w:lang w:val="en-IE"/>
        </w:rPr>
        <w:t>J.M. Simon,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18 </w:t>
      </w:r>
      <w:r w:rsidRPr="00C403BE">
        <w:rPr>
          <w:sz w:val="20"/>
          <w:szCs w:val="20"/>
          <w:lang w:val="en-IE"/>
        </w:rPr>
        <w:t>C. Leger,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19 </w:t>
      </w:r>
      <w:r w:rsidRPr="00C403BE">
        <w:rPr>
          <w:sz w:val="20"/>
          <w:szCs w:val="20"/>
          <w:lang w:val="en-IE"/>
        </w:rPr>
        <w:t>V. Beckendorf,</w:t>
      </w:r>
      <w:r w:rsidRPr="00C403BE">
        <w:rPr>
          <w:color w:val="0080AB"/>
          <w:sz w:val="20"/>
          <w:szCs w:val="20"/>
          <w:vertAlign w:val="superscript"/>
          <w:lang w:val="en-IE"/>
        </w:rPr>
        <w:t>3</w:t>
      </w:r>
      <w:r w:rsidR="00C403BE" w:rsidRPr="00C403BE">
        <w:rPr>
          <w:sz w:val="20"/>
          <w:szCs w:val="20"/>
          <w:lang w:val="en-IE"/>
        </w:rPr>
        <w:t xml:space="preserve"> </w:t>
      </w:r>
      <w:r w:rsidRPr="00C403BE">
        <w:rPr>
          <w:sz w:val="20"/>
          <w:szCs w:val="20"/>
          <w:lang w:val="en-IE"/>
        </w:rPr>
        <w:t>B.M. Dubray,</w:t>
      </w:r>
      <w:r w:rsidRPr="00C403BE">
        <w:rPr>
          <w:color w:val="0080AB"/>
          <w:sz w:val="20"/>
          <w:szCs w:val="20"/>
          <w:vertAlign w:val="superscript"/>
          <w:lang w:val="en-IE"/>
        </w:rPr>
        <w:t xml:space="preserve">20 </w:t>
      </w:r>
      <w:r w:rsidRPr="00C403BE">
        <w:rPr>
          <w:sz w:val="20"/>
          <w:szCs w:val="20"/>
          <w:lang w:val="en-IE"/>
        </w:rPr>
        <w:t>and S. Supiot</w:t>
      </w:r>
      <w:r w:rsidRPr="00C403BE">
        <w:rPr>
          <w:color w:val="0080AB"/>
          <w:sz w:val="20"/>
          <w:szCs w:val="20"/>
          <w:vertAlign w:val="superscript"/>
          <w:lang w:val="en-IE"/>
        </w:rPr>
        <w:t>21</w:t>
      </w:r>
      <w:r w:rsidRPr="00C403BE">
        <w:rPr>
          <w:sz w:val="20"/>
          <w:szCs w:val="20"/>
          <w:lang w:val="en-IE"/>
        </w:rPr>
        <w:t xml:space="preserve">; </w:t>
      </w:r>
    </w:p>
    <w:p w:rsidR="00C403BE" w:rsidRPr="002B4571" w:rsidRDefault="00C403BE" w:rsidP="00DE1290">
      <w:pPr>
        <w:spacing w:after="5" w:line="360" w:lineRule="auto"/>
        <w:ind w:left="43" w:firstLine="0"/>
        <w:jc w:val="left"/>
        <w:rPr>
          <w:sz w:val="20"/>
          <w:szCs w:val="20"/>
          <w:vertAlign w:val="superscript"/>
          <w:lang w:val="en-IE"/>
        </w:rPr>
      </w:pPr>
    </w:p>
    <w:p w:rsidR="00DE1290" w:rsidRDefault="00D65584" w:rsidP="00DE1290">
      <w:pPr>
        <w:spacing w:after="5" w:line="360" w:lineRule="auto"/>
        <w:ind w:left="43" w:firstLine="0"/>
        <w:jc w:val="left"/>
        <w:rPr>
          <w:i/>
          <w:sz w:val="20"/>
          <w:szCs w:val="20"/>
          <w:lang w:val="fr-FR"/>
        </w:rPr>
      </w:pPr>
      <w:r w:rsidRPr="005F59E5">
        <w:rPr>
          <w:i/>
          <w:sz w:val="20"/>
          <w:szCs w:val="20"/>
          <w:vertAlign w:val="superscript"/>
          <w:lang w:val="fr-FR"/>
        </w:rPr>
        <w:t>1</w:t>
      </w:r>
      <w:r w:rsidRPr="005F59E5">
        <w:rPr>
          <w:i/>
          <w:sz w:val="20"/>
          <w:szCs w:val="20"/>
          <w:lang w:val="fr-FR"/>
        </w:rPr>
        <w:t>CLRCC Institut de Canc</w:t>
      </w:r>
      <w:r w:rsidR="005F59E5" w:rsidRPr="005F59E5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rologie de Lorraine, Vandoeuvre-</w:t>
      </w:r>
      <w:r w:rsidRPr="00DE1290">
        <w:rPr>
          <w:i/>
          <w:color w:val="auto"/>
          <w:sz w:val="20"/>
          <w:szCs w:val="20"/>
          <w:lang w:val="fr-FR"/>
        </w:rPr>
        <w:t>L</w:t>
      </w:r>
      <w:r w:rsidR="00DE1290" w:rsidRPr="00DE1290">
        <w:rPr>
          <w:rStyle w:val="Siln"/>
          <w:rFonts w:eastAsia="Calibri"/>
          <w:b w:val="0"/>
          <w:color w:val="auto"/>
          <w:sz w:val="20"/>
          <w:szCs w:val="20"/>
          <w:shd w:val="clear" w:color="auto" w:fill="FFFFFF"/>
        </w:rPr>
        <w:t>è</w:t>
      </w:r>
      <w:r w:rsidRPr="005F59E5">
        <w:rPr>
          <w:i/>
          <w:sz w:val="20"/>
          <w:szCs w:val="20"/>
          <w:lang w:val="fr-FR"/>
        </w:rPr>
        <w:t xml:space="preserve">s-Nancy, France, </w:t>
      </w:r>
      <w:r w:rsidRPr="005F59E5">
        <w:rPr>
          <w:i/>
          <w:sz w:val="20"/>
          <w:szCs w:val="20"/>
          <w:vertAlign w:val="superscript"/>
          <w:lang w:val="fr-FR"/>
        </w:rPr>
        <w:t>2</w:t>
      </w:r>
      <w:r w:rsidRPr="005F59E5">
        <w:rPr>
          <w:i/>
          <w:sz w:val="20"/>
          <w:szCs w:val="20"/>
          <w:lang w:val="fr-FR"/>
        </w:rPr>
        <w:t xml:space="preserve">CRLCC Institut Bergonie, Bordeaux, Aquitaine, France, </w:t>
      </w:r>
      <w:r w:rsidRPr="005F59E5">
        <w:rPr>
          <w:i/>
          <w:sz w:val="20"/>
          <w:szCs w:val="20"/>
          <w:vertAlign w:val="superscript"/>
          <w:lang w:val="fr-FR"/>
        </w:rPr>
        <w:t>3</w:t>
      </w:r>
      <w:r w:rsidRPr="005F59E5">
        <w:rPr>
          <w:i/>
          <w:sz w:val="20"/>
          <w:szCs w:val="20"/>
          <w:lang w:val="fr-FR"/>
        </w:rPr>
        <w:t>CRLCC Institut de Canc</w:t>
      </w:r>
      <w:r w:rsidR="00DE1290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rologie de Lorraine, Vandoeuvre-L</w:t>
      </w:r>
      <w:r w:rsidR="00DE1290" w:rsidRPr="00DE1290">
        <w:rPr>
          <w:rStyle w:val="Siln"/>
          <w:rFonts w:eastAsia="Calibri"/>
          <w:b w:val="0"/>
          <w:color w:val="auto"/>
          <w:sz w:val="20"/>
          <w:szCs w:val="20"/>
          <w:shd w:val="clear" w:color="auto" w:fill="FFFFFF"/>
        </w:rPr>
        <w:t>è</w:t>
      </w:r>
      <w:r w:rsidRPr="005F59E5">
        <w:rPr>
          <w:i/>
          <w:sz w:val="20"/>
          <w:szCs w:val="20"/>
          <w:lang w:val="fr-FR"/>
        </w:rPr>
        <w:t xml:space="preserve">s-Nancy, France, </w:t>
      </w:r>
      <w:r w:rsidRPr="005F59E5">
        <w:rPr>
          <w:i/>
          <w:sz w:val="20"/>
          <w:szCs w:val="20"/>
          <w:vertAlign w:val="superscript"/>
          <w:lang w:val="fr-FR"/>
        </w:rPr>
        <w:t>4</w:t>
      </w:r>
      <w:r w:rsidRPr="005F59E5">
        <w:rPr>
          <w:i/>
          <w:sz w:val="20"/>
          <w:szCs w:val="20"/>
          <w:lang w:val="fr-FR"/>
        </w:rPr>
        <w:t>CHU La Mil</w:t>
      </w:r>
      <w:r w:rsidR="00DE1290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 xml:space="preserve">trie, Poitiers, France, </w:t>
      </w:r>
      <w:r w:rsidRPr="005F59E5">
        <w:rPr>
          <w:i/>
          <w:sz w:val="20"/>
          <w:szCs w:val="20"/>
          <w:vertAlign w:val="superscript"/>
          <w:lang w:val="fr-FR"/>
        </w:rPr>
        <w:t>5</w:t>
      </w:r>
      <w:r w:rsidRPr="005F59E5">
        <w:rPr>
          <w:i/>
          <w:sz w:val="20"/>
          <w:szCs w:val="20"/>
          <w:lang w:val="fr-FR"/>
        </w:rPr>
        <w:t>CRLCC Eug</w:t>
      </w:r>
      <w:r w:rsidR="00DE1290" w:rsidRPr="00DE1290">
        <w:rPr>
          <w:rStyle w:val="Siln"/>
          <w:rFonts w:eastAsia="Calibri"/>
          <w:b w:val="0"/>
          <w:color w:val="auto"/>
          <w:sz w:val="20"/>
          <w:szCs w:val="20"/>
          <w:shd w:val="clear" w:color="auto" w:fill="FFFFFF"/>
        </w:rPr>
        <w:t>è</w:t>
      </w:r>
      <w:r w:rsidRPr="005F59E5">
        <w:rPr>
          <w:i/>
          <w:sz w:val="20"/>
          <w:szCs w:val="20"/>
          <w:lang w:val="fr-FR"/>
        </w:rPr>
        <w:t xml:space="preserve">ne Marquis, Rennes, France, </w:t>
      </w:r>
      <w:r w:rsidRPr="005F59E5">
        <w:rPr>
          <w:i/>
          <w:sz w:val="20"/>
          <w:szCs w:val="20"/>
          <w:vertAlign w:val="superscript"/>
          <w:lang w:val="fr-FR"/>
        </w:rPr>
        <w:t>6</w:t>
      </w:r>
      <w:r w:rsidRPr="005F59E5">
        <w:rPr>
          <w:i/>
          <w:sz w:val="20"/>
          <w:szCs w:val="20"/>
          <w:lang w:val="fr-FR"/>
        </w:rPr>
        <w:t>CHRU de Tours - Centre Henry Kaplan</w:t>
      </w:r>
      <w:r w:rsidR="00DE1290">
        <w:rPr>
          <w:i/>
          <w:sz w:val="20"/>
          <w:szCs w:val="20"/>
          <w:lang w:val="fr-FR"/>
        </w:rPr>
        <w:t xml:space="preserve"> -</w:t>
      </w:r>
      <w:r w:rsidRPr="005F59E5">
        <w:rPr>
          <w:i/>
          <w:sz w:val="20"/>
          <w:szCs w:val="20"/>
          <w:lang w:val="fr-FR"/>
        </w:rPr>
        <w:t xml:space="preserve"> CORAD, Tours, France, </w:t>
      </w:r>
      <w:r w:rsidRPr="005F59E5">
        <w:rPr>
          <w:i/>
          <w:sz w:val="20"/>
          <w:szCs w:val="20"/>
          <w:vertAlign w:val="superscript"/>
          <w:lang w:val="fr-FR"/>
        </w:rPr>
        <w:t>7</w:t>
      </w:r>
      <w:r w:rsidRPr="005F59E5">
        <w:rPr>
          <w:i/>
          <w:sz w:val="20"/>
          <w:szCs w:val="20"/>
          <w:lang w:val="fr-FR"/>
        </w:rPr>
        <w:t>CRLCC Antoine Lacassagne, Nice, France,</w:t>
      </w:r>
      <w:r w:rsidR="00DE1290">
        <w:rPr>
          <w:i/>
          <w:sz w:val="20"/>
          <w:szCs w:val="20"/>
          <w:lang w:val="fr-FR"/>
        </w:rPr>
        <w:t xml:space="preserve">  </w:t>
      </w:r>
    </w:p>
    <w:p w:rsidR="00A342DA" w:rsidRDefault="00D65584" w:rsidP="00DE1290">
      <w:pPr>
        <w:spacing w:after="5" w:line="360" w:lineRule="auto"/>
        <w:ind w:left="43" w:firstLine="0"/>
        <w:jc w:val="left"/>
        <w:rPr>
          <w:i/>
          <w:sz w:val="20"/>
          <w:szCs w:val="20"/>
          <w:lang w:val="fr-FR"/>
        </w:rPr>
      </w:pPr>
      <w:r w:rsidRPr="005F59E5">
        <w:rPr>
          <w:i/>
          <w:sz w:val="20"/>
          <w:szCs w:val="20"/>
          <w:vertAlign w:val="superscript"/>
          <w:lang w:val="fr-FR"/>
        </w:rPr>
        <w:t>8</w:t>
      </w:r>
      <w:r w:rsidRPr="005F59E5">
        <w:rPr>
          <w:i/>
          <w:sz w:val="20"/>
          <w:szCs w:val="20"/>
          <w:lang w:val="fr-FR"/>
        </w:rPr>
        <w:t>CRLCC Jean Godinot, Reims, France,</w:t>
      </w:r>
      <w:r w:rsidR="00C403BE" w:rsidRPr="005F59E5">
        <w:rPr>
          <w:i/>
          <w:sz w:val="20"/>
          <w:szCs w:val="20"/>
          <w:lang w:val="fr-FR"/>
        </w:rPr>
        <w:t xml:space="preserve"> </w:t>
      </w:r>
      <w:r w:rsidR="00C403BE" w:rsidRPr="005F59E5">
        <w:rPr>
          <w:i/>
          <w:sz w:val="20"/>
          <w:szCs w:val="20"/>
          <w:vertAlign w:val="superscript"/>
          <w:lang w:val="fr-FR"/>
        </w:rPr>
        <w:t>9</w:t>
      </w:r>
      <w:r w:rsidRPr="005F59E5">
        <w:rPr>
          <w:i/>
          <w:sz w:val="20"/>
          <w:szCs w:val="20"/>
          <w:lang w:val="fr-FR"/>
        </w:rPr>
        <w:t>CHU Saint-Louis, Paris, France,</w:t>
      </w:r>
      <w:r w:rsidR="00EA0BD5" w:rsidRPr="005F59E5">
        <w:rPr>
          <w:rFonts w:eastAsia="Calibri"/>
          <w:i/>
          <w:sz w:val="20"/>
          <w:szCs w:val="20"/>
          <w:lang w:val="fr-FR"/>
        </w:rPr>
        <w:t xml:space="preserve"> </w:t>
      </w:r>
      <w:r w:rsidRPr="005F59E5">
        <w:rPr>
          <w:i/>
          <w:sz w:val="20"/>
          <w:szCs w:val="20"/>
          <w:vertAlign w:val="superscript"/>
          <w:lang w:val="fr-FR"/>
        </w:rPr>
        <w:t>10</w:t>
      </w:r>
      <w:r w:rsidR="00C403BE" w:rsidRPr="005F59E5">
        <w:rPr>
          <w:i/>
          <w:sz w:val="20"/>
          <w:szCs w:val="20"/>
          <w:lang w:val="fr-FR"/>
        </w:rPr>
        <w:t>I</w:t>
      </w:r>
      <w:r w:rsidRPr="005F59E5">
        <w:rPr>
          <w:i/>
          <w:sz w:val="20"/>
          <w:szCs w:val="20"/>
          <w:lang w:val="fr-FR"/>
        </w:rPr>
        <w:t>nstitut de Canc</w:t>
      </w:r>
      <w:r w:rsidR="00DE1290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rologie du Gard, Nimes, France,</w:t>
      </w:r>
      <w:r w:rsidR="00C403BE" w:rsidRPr="005F59E5">
        <w:rPr>
          <w:i/>
          <w:sz w:val="20"/>
          <w:szCs w:val="20"/>
          <w:lang w:val="fr-FR"/>
        </w:rPr>
        <w:t xml:space="preserve"> </w:t>
      </w:r>
      <w:r w:rsidR="00C403BE" w:rsidRPr="005F59E5">
        <w:rPr>
          <w:i/>
          <w:sz w:val="20"/>
          <w:szCs w:val="20"/>
          <w:vertAlign w:val="superscript"/>
          <w:lang w:val="fr-FR"/>
        </w:rPr>
        <w:t>11</w:t>
      </w:r>
      <w:r w:rsidR="00C403BE" w:rsidRPr="005F59E5">
        <w:rPr>
          <w:i/>
          <w:sz w:val="20"/>
          <w:szCs w:val="20"/>
          <w:lang w:val="fr-FR"/>
        </w:rPr>
        <w:t xml:space="preserve"> </w:t>
      </w:r>
      <w:r w:rsidRPr="005F59E5">
        <w:rPr>
          <w:i/>
          <w:sz w:val="20"/>
          <w:szCs w:val="20"/>
          <w:lang w:val="fr-FR"/>
        </w:rPr>
        <w:t>Oncologie-radioth</w:t>
      </w:r>
      <w:r w:rsidR="00DE1290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rapie GHU Henri Mondor, Universit</w:t>
      </w:r>
      <w:r w:rsidR="00DE1290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 xml:space="preserve"> Paris Est Cr</w:t>
      </w:r>
      <w:r w:rsidR="00DE1290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 xml:space="preserve">teil (UPEC), Inserm </w:t>
      </w:r>
      <w:r w:rsidRPr="005F59E5">
        <w:rPr>
          <w:rFonts w:eastAsia="Calibri"/>
          <w:i/>
          <w:sz w:val="20"/>
          <w:szCs w:val="20"/>
          <w:lang w:val="fr-FR"/>
        </w:rPr>
        <w:t xml:space="preserve">− </w:t>
      </w:r>
      <w:r w:rsidRPr="005F59E5">
        <w:rPr>
          <w:i/>
          <w:sz w:val="20"/>
          <w:szCs w:val="20"/>
          <w:lang w:val="fr-FR"/>
        </w:rPr>
        <w:t xml:space="preserve">IMRB U 955 (i-Biot), Creteil, France, </w:t>
      </w:r>
      <w:r w:rsidRPr="005F59E5">
        <w:rPr>
          <w:i/>
          <w:sz w:val="20"/>
          <w:szCs w:val="20"/>
          <w:vertAlign w:val="superscript"/>
          <w:lang w:val="fr-FR"/>
        </w:rPr>
        <w:t>12</w:t>
      </w:r>
      <w:r w:rsidRPr="005F59E5">
        <w:rPr>
          <w:i/>
          <w:sz w:val="20"/>
          <w:szCs w:val="20"/>
          <w:lang w:val="fr-FR"/>
        </w:rPr>
        <w:t xml:space="preserve">CRLCC Institut Claudius Regaud / Institut Universitaire du Cancer de Toulouse - Oncopole, Toulouse, Toulouse, France, </w:t>
      </w:r>
      <w:r w:rsidRPr="005F59E5">
        <w:rPr>
          <w:i/>
          <w:sz w:val="20"/>
          <w:szCs w:val="20"/>
          <w:vertAlign w:val="superscript"/>
          <w:lang w:val="fr-FR"/>
        </w:rPr>
        <w:t>13</w:t>
      </w:r>
      <w:r w:rsidRPr="005F59E5">
        <w:rPr>
          <w:i/>
          <w:sz w:val="20"/>
          <w:szCs w:val="20"/>
          <w:lang w:val="fr-FR"/>
        </w:rPr>
        <w:t>F</w:t>
      </w:r>
      <w:r w:rsidR="005F59E5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d</w:t>
      </w:r>
      <w:r w:rsidR="005F59E5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ration Universitaire d</w:t>
      </w:r>
      <w:r w:rsidRPr="005F59E5">
        <w:rPr>
          <w:rFonts w:eastAsia="Calibri"/>
          <w:i/>
          <w:sz w:val="20"/>
          <w:szCs w:val="20"/>
          <w:lang w:val="fr-FR"/>
        </w:rPr>
        <w:t>’</w:t>
      </w:r>
      <w:r w:rsidRPr="005F59E5">
        <w:rPr>
          <w:i/>
          <w:sz w:val="20"/>
          <w:szCs w:val="20"/>
          <w:lang w:val="fr-FR"/>
        </w:rPr>
        <w:t>Oncologie Radiotherapie d</w:t>
      </w:r>
      <w:r w:rsidRPr="005F59E5">
        <w:rPr>
          <w:rFonts w:eastAsia="Calibri"/>
          <w:i/>
          <w:sz w:val="20"/>
          <w:szCs w:val="20"/>
          <w:lang w:val="fr-FR"/>
        </w:rPr>
        <w:t>’</w:t>
      </w:r>
      <w:r w:rsidRPr="005F59E5">
        <w:rPr>
          <w:i/>
          <w:sz w:val="20"/>
          <w:szCs w:val="20"/>
          <w:lang w:val="fr-FR"/>
        </w:rPr>
        <w:t>Occitanie M</w:t>
      </w:r>
      <w:r w:rsidR="00DE1290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 xml:space="preserve">diterranee, Institut du Cancer Montpellier (ICM), Univ Montpellier, INSERM U1194 ICM, Montpellier, France, </w:t>
      </w:r>
      <w:r w:rsidRPr="005F59E5">
        <w:rPr>
          <w:i/>
          <w:sz w:val="20"/>
          <w:szCs w:val="20"/>
          <w:vertAlign w:val="superscript"/>
          <w:lang w:val="fr-FR"/>
        </w:rPr>
        <w:t>14</w:t>
      </w:r>
      <w:r w:rsidRPr="005F59E5">
        <w:rPr>
          <w:i/>
          <w:sz w:val="20"/>
          <w:szCs w:val="20"/>
          <w:lang w:val="fr-FR"/>
        </w:rPr>
        <w:t>H</w:t>
      </w:r>
      <w:r w:rsidR="00A342DA">
        <w:rPr>
          <w:i/>
          <w:sz w:val="20"/>
          <w:szCs w:val="20"/>
          <w:lang w:val="fr-FR"/>
        </w:rPr>
        <w:t>ô</w:t>
      </w:r>
      <w:r w:rsidRPr="005F59E5">
        <w:rPr>
          <w:i/>
          <w:sz w:val="20"/>
          <w:szCs w:val="20"/>
          <w:lang w:val="fr-FR"/>
        </w:rPr>
        <w:t>pital Emile</w:t>
      </w:r>
      <w:r w:rsidR="00C403BE" w:rsidRPr="005F59E5">
        <w:rPr>
          <w:i/>
          <w:sz w:val="20"/>
          <w:szCs w:val="20"/>
          <w:lang w:val="fr-FR"/>
        </w:rPr>
        <w:t xml:space="preserve"> </w:t>
      </w:r>
      <w:r w:rsidRPr="005F59E5">
        <w:rPr>
          <w:i/>
          <w:sz w:val="20"/>
          <w:szCs w:val="20"/>
          <w:lang w:val="fr-FR"/>
        </w:rPr>
        <w:t xml:space="preserve">Muller, GHRMSA, Mulhouse, France, </w:t>
      </w:r>
      <w:r w:rsidRPr="005F59E5">
        <w:rPr>
          <w:i/>
          <w:sz w:val="20"/>
          <w:szCs w:val="20"/>
          <w:vertAlign w:val="superscript"/>
          <w:lang w:val="fr-FR"/>
        </w:rPr>
        <w:t>15</w:t>
      </w:r>
      <w:r w:rsidRPr="005F59E5">
        <w:rPr>
          <w:i/>
          <w:sz w:val="20"/>
          <w:szCs w:val="20"/>
          <w:lang w:val="fr-FR"/>
        </w:rPr>
        <w:t xml:space="preserve">Centre Leon Berard, Lyon, France, </w:t>
      </w:r>
      <w:r w:rsidRPr="005F59E5">
        <w:rPr>
          <w:i/>
          <w:sz w:val="20"/>
          <w:szCs w:val="20"/>
          <w:vertAlign w:val="superscript"/>
          <w:lang w:val="fr-FR"/>
        </w:rPr>
        <w:t>16</w:t>
      </w:r>
      <w:r w:rsidRPr="005F59E5">
        <w:rPr>
          <w:i/>
          <w:sz w:val="20"/>
          <w:szCs w:val="20"/>
          <w:lang w:val="fr-FR"/>
        </w:rPr>
        <w:t>CRLCC L</w:t>
      </w:r>
      <w:r w:rsidR="00A342DA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on B</w:t>
      </w:r>
      <w:r w:rsidR="00A342DA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rard, Lyon, France,</w:t>
      </w:r>
      <w:r w:rsidR="00C403BE" w:rsidRPr="005F59E5">
        <w:rPr>
          <w:i/>
          <w:sz w:val="20"/>
          <w:szCs w:val="20"/>
          <w:vertAlign w:val="superscript"/>
          <w:lang w:val="fr-FR"/>
        </w:rPr>
        <w:t xml:space="preserve"> </w:t>
      </w:r>
      <w:r w:rsidR="00EA0BD5" w:rsidRPr="005F59E5">
        <w:rPr>
          <w:i/>
          <w:sz w:val="20"/>
          <w:szCs w:val="20"/>
          <w:vertAlign w:val="superscript"/>
          <w:lang w:val="fr-FR"/>
        </w:rPr>
        <w:t>1</w:t>
      </w:r>
      <w:r w:rsidR="00A342DA">
        <w:rPr>
          <w:i/>
          <w:sz w:val="20"/>
          <w:szCs w:val="20"/>
          <w:vertAlign w:val="superscript"/>
          <w:lang w:val="fr-FR"/>
        </w:rPr>
        <w:t>7</w:t>
      </w:r>
      <w:r w:rsidR="00C403BE" w:rsidRPr="005F59E5">
        <w:rPr>
          <w:i/>
          <w:sz w:val="20"/>
          <w:szCs w:val="20"/>
          <w:vertAlign w:val="superscript"/>
          <w:lang w:val="fr-FR"/>
        </w:rPr>
        <w:t xml:space="preserve"> </w:t>
      </w:r>
      <w:r w:rsidRPr="005F59E5">
        <w:rPr>
          <w:i/>
          <w:sz w:val="20"/>
          <w:szCs w:val="20"/>
          <w:lang w:val="fr-FR"/>
        </w:rPr>
        <w:t xml:space="preserve">CRLCC Institut Curie, Paris, France, </w:t>
      </w:r>
      <w:r w:rsidRPr="005F59E5">
        <w:rPr>
          <w:i/>
          <w:sz w:val="20"/>
          <w:szCs w:val="20"/>
          <w:vertAlign w:val="superscript"/>
          <w:lang w:val="fr-FR"/>
        </w:rPr>
        <w:t>18</w:t>
      </w:r>
      <w:r w:rsidRPr="005F59E5">
        <w:rPr>
          <w:i/>
          <w:sz w:val="20"/>
          <w:szCs w:val="20"/>
          <w:lang w:val="fr-FR"/>
        </w:rPr>
        <w:t>AP-HP Sorbonne Universit</w:t>
      </w:r>
      <w:r w:rsidR="00A342DA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, Charles-Foix Piti</w:t>
      </w:r>
      <w:r w:rsidR="00A342DA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-Salp</w:t>
      </w:r>
      <w:r w:rsidR="00A342DA">
        <w:rPr>
          <w:rFonts w:eastAsia="Calibri"/>
          <w:i/>
          <w:sz w:val="20"/>
          <w:szCs w:val="20"/>
          <w:lang w:val="fr-FR"/>
        </w:rPr>
        <w:t>ê</w:t>
      </w:r>
      <w:r w:rsidRPr="005F59E5">
        <w:rPr>
          <w:i/>
          <w:sz w:val="20"/>
          <w:szCs w:val="20"/>
          <w:lang w:val="fr-FR"/>
        </w:rPr>
        <w:t>tri</w:t>
      </w:r>
      <w:r w:rsidR="00A342DA" w:rsidRPr="00DE1290">
        <w:rPr>
          <w:rStyle w:val="Siln"/>
          <w:rFonts w:eastAsia="Calibri"/>
          <w:b w:val="0"/>
          <w:color w:val="auto"/>
          <w:sz w:val="20"/>
          <w:szCs w:val="20"/>
          <w:shd w:val="clear" w:color="auto" w:fill="FFFFFF"/>
        </w:rPr>
        <w:t>è</w:t>
      </w:r>
      <w:r w:rsidRPr="005F59E5">
        <w:rPr>
          <w:i/>
          <w:sz w:val="20"/>
          <w:szCs w:val="20"/>
          <w:lang w:val="fr-FR"/>
        </w:rPr>
        <w:t>re, Paris, France,</w:t>
      </w:r>
    </w:p>
    <w:p w:rsidR="00A342DA" w:rsidRDefault="00D65584" w:rsidP="00DE1290">
      <w:pPr>
        <w:spacing w:after="5" w:line="360" w:lineRule="auto"/>
        <w:ind w:left="43" w:firstLine="0"/>
        <w:jc w:val="left"/>
        <w:rPr>
          <w:i/>
          <w:sz w:val="20"/>
          <w:szCs w:val="20"/>
          <w:lang w:val="fr-FR"/>
        </w:rPr>
      </w:pPr>
      <w:r w:rsidRPr="005F59E5">
        <w:rPr>
          <w:i/>
          <w:sz w:val="20"/>
          <w:szCs w:val="20"/>
          <w:vertAlign w:val="superscript"/>
          <w:lang w:val="fr-FR"/>
        </w:rPr>
        <w:t>19</w:t>
      </w:r>
      <w:r w:rsidRPr="005F59E5">
        <w:rPr>
          <w:i/>
          <w:sz w:val="20"/>
          <w:szCs w:val="20"/>
          <w:lang w:val="fr-FR"/>
        </w:rPr>
        <w:t>Unicancer, Paris, France,</w:t>
      </w:r>
      <w:r w:rsidR="00EA0BD5" w:rsidRPr="005F59E5">
        <w:rPr>
          <w:i/>
          <w:sz w:val="20"/>
          <w:szCs w:val="20"/>
          <w:lang w:val="fr-FR"/>
        </w:rPr>
        <w:t xml:space="preserve"> </w:t>
      </w:r>
      <w:r w:rsidR="00EA0BD5" w:rsidRPr="005F59E5">
        <w:rPr>
          <w:i/>
          <w:sz w:val="20"/>
          <w:szCs w:val="20"/>
          <w:vertAlign w:val="superscript"/>
          <w:lang w:val="fr-FR"/>
        </w:rPr>
        <w:t>20</w:t>
      </w:r>
      <w:r w:rsidRPr="005F59E5">
        <w:rPr>
          <w:i/>
          <w:sz w:val="20"/>
          <w:szCs w:val="20"/>
          <w:lang w:val="fr-FR"/>
        </w:rPr>
        <w:t>CRLCC Henri Becquerel, Rouen, France,</w:t>
      </w:r>
      <w:r w:rsidR="00C403BE" w:rsidRPr="005F59E5">
        <w:rPr>
          <w:i/>
          <w:sz w:val="20"/>
          <w:szCs w:val="20"/>
          <w:lang w:val="fr-FR"/>
        </w:rPr>
        <w:t xml:space="preserve"> </w:t>
      </w:r>
      <w:r w:rsidRPr="005F59E5">
        <w:rPr>
          <w:i/>
          <w:sz w:val="20"/>
          <w:szCs w:val="20"/>
          <w:vertAlign w:val="superscript"/>
          <w:lang w:val="fr-FR"/>
        </w:rPr>
        <w:t>21</w:t>
      </w:r>
      <w:r w:rsidRPr="005F59E5">
        <w:rPr>
          <w:i/>
          <w:sz w:val="20"/>
          <w:szCs w:val="20"/>
          <w:lang w:val="fr-FR"/>
        </w:rPr>
        <w:t>Institut de Canc</w:t>
      </w:r>
      <w:r w:rsidR="00A342DA">
        <w:rPr>
          <w:i/>
          <w:sz w:val="20"/>
          <w:szCs w:val="20"/>
          <w:lang w:val="fr-FR"/>
        </w:rPr>
        <w:t>é</w:t>
      </w:r>
      <w:r w:rsidRPr="005F59E5">
        <w:rPr>
          <w:i/>
          <w:sz w:val="20"/>
          <w:szCs w:val="20"/>
          <w:lang w:val="fr-FR"/>
        </w:rPr>
        <w:t>rologie</w:t>
      </w:r>
    </w:p>
    <w:p w:rsidR="000F2D13" w:rsidRPr="005F59E5" w:rsidRDefault="00D65584" w:rsidP="00DE1290">
      <w:pPr>
        <w:spacing w:after="5" w:line="360" w:lineRule="auto"/>
        <w:ind w:left="43" w:firstLine="0"/>
        <w:jc w:val="left"/>
        <w:rPr>
          <w:i/>
          <w:sz w:val="20"/>
          <w:szCs w:val="20"/>
          <w:lang w:val="fr-FR"/>
        </w:rPr>
      </w:pPr>
      <w:r w:rsidRPr="005F59E5">
        <w:rPr>
          <w:i/>
          <w:sz w:val="20"/>
          <w:szCs w:val="20"/>
          <w:lang w:val="fr-FR"/>
        </w:rPr>
        <w:t>de l'Ouest Rene Gauducheau, Saint-Herblain,</w:t>
      </w:r>
      <w:r w:rsidR="00C403BE" w:rsidRPr="005F59E5">
        <w:rPr>
          <w:i/>
          <w:sz w:val="20"/>
          <w:szCs w:val="20"/>
          <w:lang w:val="fr-FR"/>
        </w:rPr>
        <w:t xml:space="preserve"> </w:t>
      </w:r>
      <w:r w:rsidRPr="005F59E5">
        <w:rPr>
          <w:i/>
          <w:sz w:val="20"/>
          <w:szCs w:val="20"/>
          <w:lang w:val="fr-FR"/>
        </w:rPr>
        <w:t>France</w:t>
      </w:r>
    </w:p>
    <w:p w:rsidR="00C403BE" w:rsidRPr="005F59E5" w:rsidRDefault="00C403BE" w:rsidP="00DE1290">
      <w:pPr>
        <w:spacing w:after="5" w:line="360" w:lineRule="auto"/>
        <w:ind w:left="43" w:firstLine="0"/>
        <w:jc w:val="left"/>
        <w:rPr>
          <w:sz w:val="20"/>
          <w:szCs w:val="20"/>
          <w:lang w:val="fr-FR"/>
        </w:rPr>
      </w:pPr>
    </w:p>
    <w:p w:rsidR="000F2D13" w:rsidRPr="00C403BE" w:rsidRDefault="00D65584" w:rsidP="00650651">
      <w:pPr>
        <w:spacing w:line="360" w:lineRule="auto"/>
        <w:ind w:left="-5"/>
        <w:jc w:val="left"/>
        <w:rPr>
          <w:sz w:val="20"/>
          <w:szCs w:val="20"/>
          <w:lang w:val="en-IE"/>
        </w:rPr>
      </w:pPr>
      <w:r w:rsidRPr="00C403BE">
        <w:rPr>
          <w:rFonts w:eastAsia="Calibri"/>
          <w:b/>
          <w:sz w:val="20"/>
          <w:szCs w:val="20"/>
          <w:lang w:val="en-IE"/>
        </w:rPr>
        <w:t>Purpose/Objective(s):</w:t>
      </w:r>
      <w:r w:rsidRPr="00C403BE">
        <w:rPr>
          <w:rFonts w:eastAsia="Calibri"/>
          <w:sz w:val="20"/>
          <w:szCs w:val="20"/>
          <w:lang w:val="en-IE"/>
        </w:rPr>
        <w:t xml:space="preserve"> </w:t>
      </w:r>
      <w:r w:rsidRPr="00C403BE">
        <w:rPr>
          <w:sz w:val="20"/>
          <w:szCs w:val="20"/>
          <w:lang w:val="en-IE"/>
        </w:rPr>
        <w:t xml:space="preserve">Few studies compared short-term androgen deprivation (STADT) with high-dose radiotherapy (STADT-RT) versus </w:t>
      </w:r>
      <w:proofErr w:type="spellStart"/>
      <w:r w:rsidRPr="00C403BE">
        <w:rPr>
          <w:sz w:val="20"/>
          <w:szCs w:val="20"/>
          <w:lang w:val="en-IE"/>
        </w:rPr>
        <w:t>highdose</w:t>
      </w:r>
      <w:proofErr w:type="spellEnd"/>
      <w:r w:rsidRPr="00C403BE">
        <w:rPr>
          <w:sz w:val="20"/>
          <w:szCs w:val="20"/>
          <w:lang w:val="en-IE"/>
        </w:rPr>
        <w:t xml:space="preserve"> radiotherapy (RT) alone in localized prostate cancer.</w:t>
      </w:r>
    </w:p>
    <w:p w:rsidR="000F2D13" w:rsidRPr="00C403BE" w:rsidRDefault="00D65584" w:rsidP="00650651">
      <w:pPr>
        <w:spacing w:line="360" w:lineRule="auto"/>
        <w:ind w:left="-5"/>
        <w:jc w:val="left"/>
        <w:rPr>
          <w:sz w:val="20"/>
          <w:szCs w:val="20"/>
          <w:lang w:val="en-IE"/>
        </w:rPr>
      </w:pPr>
      <w:r w:rsidRPr="00C403BE">
        <w:rPr>
          <w:rFonts w:eastAsia="Calibri"/>
          <w:b/>
          <w:sz w:val="20"/>
          <w:szCs w:val="20"/>
          <w:lang w:val="en-IE"/>
        </w:rPr>
        <w:t>Materials/Methods:</w:t>
      </w:r>
      <w:r w:rsidRPr="00C403BE">
        <w:rPr>
          <w:rFonts w:eastAsia="Calibri"/>
          <w:sz w:val="20"/>
          <w:szCs w:val="20"/>
          <w:lang w:val="en-IE"/>
        </w:rPr>
        <w:t xml:space="preserve"> </w:t>
      </w:r>
      <w:r w:rsidRPr="00C403BE">
        <w:rPr>
          <w:sz w:val="20"/>
          <w:szCs w:val="20"/>
          <w:lang w:val="en-IE"/>
        </w:rPr>
        <w:t xml:space="preserve">The GETUG 14 study randomized 376 patients between RT (n=191) and STADT-RT (n=179). RT dose was 80 </w:t>
      </w:r>
      <w:proofErr w:type="spellStart"/>
      <w:r w:rsidRPr="00C403BE">
        <w:rPr>
          <w:sz w:val="20"/>
          <w:szCs w:val="20"/>
          <w:lang w:val="en-IE"/>
        </w:rPr>
        <w:t>Gy</w:t>
      </w:r>
      <w:proofErr w:type="spellEnd"/>
      <w:r w:rsidRPr="00C403BE">
        <w:rPr>
          <w:sz w:val="20"/>
          <w:szCs w:val="20"/>
          <w:lang w:val="en-IE"/>
        </w:rPr>
        <w:t xml:space="preserve"> in both arms and STADT was monthly triptorelin and daily </w:t>
      </w:r>
      <w:r w:rsidRPr="00C403BE">
        <w:rPr>
          <w:rFonts w:eastAsia="Calibri"/>
          <w:sz w:val="20"/>
          <w:szCs w:val="20"/>
          <w:lang w:val="en-IE"/>
        </w:rPr>
        <w:t>fl</w:t>
      </w:r>
      <w:r w:rsidRPr="00C403BE">
        <w:rPr>
          <w:sz w:val="20"/>
          <w:szCs w:val="20"/>
          <w:lang w:val="en-IE"/>
        </w:rPr>
        <w:t>utamide for a total duration of 4 months, starting 2 months before irradiation. Disease-free survival (DFS) was the primary endpoint. Secondary endpoints were overall survival (OS), biochemical failure (BF), metastasis failure (MF), toxicity and quality of life.</w:t>
      </w:r>
      <w:bookmarkStart w:id="0" w:name="_GoBack"/>
      <w:bookmarkEnd w:id="0"/>
    </w:p>
    <w:p w:rsidR="000F2D13" w:rsidRPr="00C403BE" w:rsidRDefault="00D65584" w:rsidP="00650651">
      <w:pPr>
        <w:spacing w:line="360" w:lineRule="auto"/>
        <w:ind w:left="-5"/>
        <w:jc w:val="left"/>
        <w:rPr>
          <w:sz w:val="20"/>
          <w:szCs w:val="20"/>
          <w:lang w:val="en-IE"/>
        </w:rPr>
      </w:pPr>
      <w:r w:rsidRPr="00C403BE">
        <w:rPr>
          <w:rFonts w:eastAsia="Calibri"/>
          <w:b/>
          <w:sz w:val="20"/>
          <w:szCs w:val="20"/>
          <w:lang w:val="en-IE"/>
        </w:rPr>
        <w:t>Results:</w:t>
      </w:r>
      <w:r w:rsidRPr="00C403BE">
        <w:rPr>
          <w:rFonts w:eastAsia="Calibri"/>
          <w:sz w:val="20"/>
          <w:szCs w:val="20"/>
          <w:lang w:val="en-IE"/>
        </w:rPr>
        <w:t xml:space="preserve"> </w:t>
      </w:r>
      <w:r w:rsidRPr="00C403BE">
        <w:rPr>
          <w:sz w:val="20"/>
          <w:szCs w:val="20"/>
          <w:lang w:val="en-IE"/>
        </w:rPr>
        <w:t xml:space="preserve">With a median follow-up of 84 months, </w:t>
      </w:r>
      <w:r w:rsidRPr="00C403BE">
        <w:rPr>
          <w:rFonts w:eastAsia="Calibri"/>
          <w:sz w:val="20"/>
          <w:szCs w:val="20"/>
          <w:lang w:val="en-IE"/>
        </w:rPr>
        <w:t>fi</w:t>
      </w:r>
      <w:r w:rsidRPr="00C403BE">
        <w:rPr>
          <w:sz w:val="20"/>
          <w:szCs w:val="20"/>
          <w:lang w:val="en-IE"/>
        </w:rPr>
        <w:t xml:space="preserve">ve-year DFS was 76% in RT arm versus 84% in STADT-RT arm (hazard ratio [HR] = 0.64; [95% CI 0.43 - 0.89]; P = .02). ADT decreased BF (HR = 0.45; P = .001) and MF (HR = 0.5; P = .09) but not OS (HR = 1.22; P = .54). No difference was found in terms of gastrointestinal (26% of grade </w:t>
      </w:r>
      <w:r w:rsidRPr="00C403BE">
        <w:rPr>
          <w:rFonts w:eastAsia="Calibri"/>
          <w:sz w:val="20"/>
          <w:szCs w:val="20"/>
          <w:lang w:val="en-IE"/>
        </w:rPr>
        <w:t>≥</w:t>
      </w:r>
      <w:r w:rsidRPr="00C403BE">
        <w:rPr>
          <w:sz w:val="20"/>
          <w:szCs w:val="20"/>
          <w:lang w:val="en-IE"/>
        </w:rPr>
        <w:t xml:space="preserve">2 in both arm, P = .97) and </w:t>
      </w:r>
      <w:proofErr w:type="spellStart"/>
      <w:r w:rsidRPr="00C403BE">
        <w:rPr>
          <w:sz w:val="20"/>
          <w:szCs w:val="20"/>
          <w:lang w:val="en-IE"/>
        </w:rPr>
        <w:t>genito</w:t>
      </w:r>
      <w:proofErr w:type="spellEnd"/>
      <w:r w:rsidRPr="00C403BE">
        <w:rPr>
          <w:sz w:val="20"/>
          <w:szCs w:val="20"/>
          <w:lang w:val="en-IE"/>
        </w:rPr>
        <w:t>-urinary acute toxicity (39% for RT and 42% for STADT-RT, P = .55). Similarly, no difference was found in late toxicity and quality of life.</w:t>
      </w:r>
    </w:p>
    <w:p w:rsidR="000F2D13" w:rsidRPr="00C403BE" w:rsidRDefault="00D65584" w:rsidP="00650651">
      <w:pPr>
        <w:spacing w:line="360" w:lineRule="auto"/>
        <w:ind w:left="-5"/>
        <w:jc w:val="left"/>
        <w:rPr>
          <w:sz w:val="20"/>
          <w:szCs w:val="20"/>
          <w:lang w:val="en-IE"/>
        </w:rPr>
      </w:pPr>
      <w:r w:rsidRPr="00C403BE">
        <w:rPr>
          <w:rFonts w:eastAsia="Calibri"/>
          <w:b/>
          <w:sz w:val="20"/>
          <w:szCs w:val="20"/>
          <w:lang w:val="en-IE"/>
        </w:rPr>
        <w:t>Conclusion:</w:t>
      </w:r>
      <w:r w:rsidRPr="00C403BE">
        <w:rPr>
          <w:rFonts w:eastAsia="Calibri"/>
          <w:sz w:val="20"/>
          <w:szCs w:val="20"/>
          <w:lang w:val="en-IE"/>
        </w:rPr>
        <w:t xml:space="preserve"> </w:t>
      </w:r>
      <w:r w:rsidRPr="00C403BE">
        <w:rPr>
          <w:sz w:val="20"/>
          <w:szCs w:val="20"/>
          <w:lang w:val="en-IE"/>
        </w:rPr>
        <w:t xml:space="preserve">STADT improves disease-free survival in intermediate and high-risk prostate cancer patients receiving high dose (80 </w:t>
      </w:r>
      <w:proofErr w:type="spellStart"/>
      <w:r w:rsidRPr="00C403BE">
        <w:rPr>
          <w:sz w:val="20"/>
          <w:szCs w:val="20"/>
          <w:lang w:val="en-IE"/>
        </w:rPr>
        <w:t>Gy</w:t>
      </w:r>
      <w:proofErr w:type="spellEnd"/>
      <w:r w:rsidRPr="00C403BE">
        <w:rPr>
          <w:sz w:val="20"/>
          <w:szCs w:val="20"/>
          <w:lang w:val="en-IE"/>
        </w:rPr>
        <w:t>) RT, without any deterioration in the safety pro</w:t>
      </w:r>
      <w:r w:rsidRPr="00C403BE">
        <w:rPr>
          <w:rFonts w:eastAsia="Calibri"/>
          <w:sz w:val="20"/>
          <w:szCs w:val="20"/>
          <w:lang w:val="en-IE"/>
        </w:rPr>
        <w:t>fi</w:t>
      </w:r>
      <w:r w:rsidRPr="00C403BE">
        <w:rPr>
          <w:sz w:val="20"/>
          <w:szCs w:val="20"/>
          <w:lang w:val="en-IE"/>
        </w:rPr>
        <w:t>le.</w:t>
      </w:r>
    </w:p>
    <w:sectPr w:rsidR="000F2D13" w:rsidRPr="00C403BE" w:rsidSect="002B4571">
      <w:type w:val="continuous"/>
      <w:pgSz w:w="11520" w:h="15479"/>
      <w:pgMar w:top="674" w:right="1455" w:bottom="78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13"/>
    <w:rsid w:val="000F2D13"/>
    <w:rsid w:val="002650EF"/>
    <w:rsid w:val="002B4571"/>
    <w:rsid w:val="005F59E5"/>
    <w:rsid w:val="00650651"/>
    <w:rsid w:val="00A342DA"/>
    <w:rsid w:val="00C403BE"/>
    <w:rsid w:val="00D65584"/>
    <w:rsid w:val="00DE1290"/>
    <w:rsid w:val="00E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563BD-9C2C-4B3D-8F4E-37D33B3C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" w:line="264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0"/>
      <w:ind w:left="10" w:hanging="10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DE1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Eva</dc:creator>
  <cp:keywords/>
  <cp:lastModifiedBy>Vyroubalová Eva</cp:lastModifiedBy>
  <cp:revision>9</cp:revision>
  <dcterms:created xsi:type="dcterms:W3CDTF">2024-11-06T09:52:00Z</dcterms:created>
  <dcterms:modified xsi:type="dcterms:W3CDTF">2024-11-11T12:02:00Z</dcterms:modified>
</cp:coreProperties>
</file>