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2A" w:rsidRDefault="0079472A" w:rsidP="0092576B">
      <w:pPr>
        <w:tabs>
          <w:tab w:val="right" w:pos="10042"/>
        </w:tabs>
        <w:spacing w:after="0" w:line="259" w:lineRule="auto"/>
        <w:ind w:left="0" w:right="0" w:firstLine="0"/>
        <w:jc w:val="left"/>
        <w:sectPr w:rsidR="0079472A" w:rsidSect="00DE25A8">
          <w:pgSz w:w="11520" w:h="15479"/>
          <w:pgMar w:top="675" w:right="720" w:bottom="1134" w:left="760" w:header="709" w:footer="709" w:gutter="0"/>
          <w:cols w:space="708"/>
        </w:sectPr>
      </w:pPr>
    </w:p>
    <w:p w:rsidR="00A30C29" w:rsidRDefault="00A30C29" w:rsidP="00C01B32">
      <w:pPr>
        <w:ind w:left="0" w:right="0" w:firstLine="0"/>
      </w:pPr>
    </w:p>
    <w:p w:rsidR="00A30C29" w:rsidRDefault="00A30C29">
      <w:pPr>
        <w:ind w:left="-15" w:right="0" w:firstLine="159"/>
      </w:pPr>
    </w:p>
    <w:p w:rsidR="00C01B32" w:rsidRDefault="00C01B32" w:rsidP="00C01B32">
      <w:pPr>
        <w:ind w:left="0" w:right="0" w:firstLine="0"/>
        <w:sectPr w:rsidR="00C01B32" w:rsidSect="00C01B32">
          <w:type w:val="continuous"/>
          <w:pgSz w:w="11520" w:h="15479"/>
          <w:pgMar w:top="638" w:right="717" w:bottom="3599" w:left="1276" w:header="708" w:footer="708" w:gutter="0"/>
          <w:cols w:num="2" w:space="480"/>
        </w:sectPr>
      </w:pPr>
    </w:p>
    <w:p w:rsidR="001B30C2" w:rsidRDefault="001B30C2" w:rsidP="00C01B32">
      <w:pPr>
        <w:spacing w:line="360" w:lineRule="auto"/>
        <w:ind w:left="0" w:right="0" w:firstLine="0"/>
        <w:jc w:val="left"/>
        <w:rPr>
          <w:b/>
          <w:sz w:val="24"/>
          <w:szCs w:val="24"/>
        </w:rPr>
      </w:pPr>
    </w:p>
    <w:p w:rsidR="00C01B32" w:rsidRPr="0000742F" w:rsidRDefault="00C01B32" w:rsidP="00C01B32">
      <w:pPr>
        <w:spacing w:line="360" w:lineRule="auto"/>
        <w:ind w:left="0" w:right="0" w:firstLine="0"/>
        <w:jc w:val="left"/>
        <w:rPr>
          <w:b/>
          <w:sz w:val="24"/>
          <w:szCs w:val="24"/>
          <w:lang w:val="en-IE"/>
        </w:rPr>
        <w:sectPr w:rsidR="00C01B32" w:rsidRPr="0000742F" w:rsidSect="00C01B32">
          <w:type w:val="continuous"/>
          <w:pgSz w:w="11520" w:h="15479"/>
          <w:pgMar w:top="638" w:right="1172" w:bottom="3599" w:left="1134" w:header="708" w:footer="708" w:gutter="0"/>
          <w:cols w:space="480"/>
        </w:sectPr>
      </w:pPr>
      <w:r w:rsidRPr="0000742F">
        <w:rPr>
          <w:b/>
          <w:sz w:val="24"/>
          <w:szCs w:val="24"/>
          <w:lang w:val="en-IE"/>
        </w:rPr>
        <w:t xml:space="preserve">A Phase </w:t>
      </w:r>
      <w:r w:rsidR="00A35901">
        <w:rPr>
          <w:b/>
          <w:sz w:val="24"/>
          <w:szCs w:val="24"/>
          <w:lang w:val="en-IE"/>
        </w:rPr>
        <w:t>3</w:t>
      </w:r>
      <w:r w:rsidRPr="0000742F">
        <w:rPr>
          <w:b/>
          <w:sz w:val="24"/>
          <w:szCs w:val="24"/>
          <w:lang w:val="en-IE"/>
        </w:rPr>
        <w:t xml:space="preserve"> Study of Pembrolizumab (</w:t>
      </w:r>
      <w:proofErr w:type="spellStart"/>
      <w:r w:rsidRPr="0000742F">
        <w:rPr>
          <w:b/>
          <w:sz w:val="24"/>
          <w:szCs w:val="24"/>
          <w:lang w:val="en-IE"/>
        </w:rPr>
        <w:t>Pembro</w:t>
      </w:r>
      <w:proofErr w:type="spellEnd"/>
      <w:r w:rsidRPr="0000742F">
        <w:rPr>
          <w:b/>
          <w:sz w:val="24"/>
          <w:szCs w:val="24"/>
          <w:lang w:val="en-IE"/>
        </w:rPr>
        <w:t xml:space="preserve">) + Concurrent </w:t>
      </w:r>
      <w:r w:rsidR="00A35901">
        <w:rPr>
          <w:b/>
          <w:sz w:val="24"/>
          <w:szCs w:val="24"/>
          <w:lang w:val="en-IE"/>
        </w:rPr>
        <w:t>C</w:t>
      </w:r>
      <w:r w:rsidRPr="0000742F">
        <w:rPr>
          <w:b/>
          <w:sz w:val="24"/>
          <w:szCs w:val="24"/>
          <w:lang w:val="en-IE"/>
        </w:rPr>
        <w:t>hemoradiotherapy (CCRT) for High-Risk Locally Advanced Cervical Cancer (LACC): Safety Findings</w:t>
      </w:r>
    </w:p>
    <w:p w:rsidR="00A30C29" w:rsidRPr="0000742F" w:rsidRDefault="00A30C29" w:rsidP="00C01B32">
      <w:pPr>
        <w:spacing w:line="360" w:lineRule="auto"/>
        <w:ind w:left="0" w:right="0" w:firstLine="0"/>
        <w:jc w:val="left"/>
        <w:rPr>
          <w:b/>
          <w:sz w:val="24"/>
          <w:szCs w:val="24"/>
          <w:lang w:val="en-IE"/>
        </w:rPr>
      </w:pPr>
    </w:p>
    <w:p w:rsidR="00A30C29" w:rsidRPr="0000742F" w:rsidRDefault="00A30C29" w:rsidP="00C01B32">
      <w:pPr>
        <w:spacing w:line="360" w:lineRule="auto"/>
        <w:ind w:left="-15" w:right="0" w:firstLine="159"/>
        <w:jc w:val="left"/>
        <w:rPr>
          <w:sz w:val="24"/>
          <w:szCs w:val="24"/>
          <w:lang w:val="en-IE"/>
        </w:rPr>
      </w:pPr>
    </w:p>
    <w:p w:rsidR="00C01B32" w:rsidRPr="0000742F" w:rsidRDefault="00C01B32" w:rsidP="00C01B32">
      <w:pPr>
        <w:spacing w:after="46" w:line="360" w:lineRule="auto"/>
        <w:ind w:left="-5" w:right="0"/>
        <w:jc w:val="left"/>
        <w:rPr>
          <w:sz w:val="24"/>
          <w:szCs w:val="24"/>
          <w:lang w:val="en-IE"/>
        </w:rPr>
        <w:sectPr w:rsidR="00C01B32" w:rsidRPr="0000742F" w:rsidSect="00C01B32">
          <w:type w:val="continuous"/>
          <w:pgSz w:w="11520" w:h="15479"/>
          <w:pgMar w:top="638" w:right="717" w:bottom="3599" w:left="1276" w:header="708" w:footer="708" w:gutter="0"/>
          <w:cols w:num="2" w:space="480"/>
        </w:sectPr>
      </w:pPr>
    </w:p>
    <w:p w:rsidR="004A454F" w:rsidRDefault="00C01B32" w:rsidP="004A454F">
      <w:pPr>
        <w:spacing w:line="360" w:lineRule="auto"/>
        <w:ind w:left="0" w:right="0" w:firstLine="0"/>
        <w:jc w:val="left"/>
        <w:rPr>
          <w:color w:val="auto"/>
          <w:sz w:val="20"/>
          <w:szCs w:val="20"/>
          <w:vertAlign w:val="superscript"/>
          <w:lang w:val="en-IE"/>
        </w:rPr>
      </w:pPr>
      <w:r w:rsidRPr="004A454F">
        <w:rPr>
          <w:color w:val="auto"/>
          <w:sz w:val="20"/>
          <w:szCs w:val="20"/>
          <w:lang w:val="en-IE"/>
        </w:rPr>
        <w:t>G. Macchia,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1</w:t>
      </w:r>
      <w:r w:rsidRPr="004A454F">
        <w:rPr>
          <w:color w:val="auto"/>
          <w:sz w:val="20"/>
          <w:szCs w:val="20"/>
          <w:lang w:val="en-IE"/>
        </w:rPr>
        <w:t xml:space="preserve"> A. </w:t>
      </w:r>
      <w:proofErr w:type="spellStart"/>
      <w:r w:rsidRPr="004A454F">
        <w:rPr>
          <w:color w:val="auto"/>
          <w:sz w:val="20"/>
          <w:szCs w:val="20"/>
          <w:lang w:val="en-IE"/>
        </w:rPr>
        <w:t>Cerrotta</w:t>
      </w:r>
      <w:proofErr w:type="spellEnd"/>
      <w:r w:rsidRPr="004A454F">
        <w:rPr>
          <w:color w:val="auto"/>
          <w:sz w:val="20"/>
          <w:szCs w:val="20"/>
          <w:lang w:val="en-IE"/>
        </w:rPr>
        <w:t>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2</w:t>
      </w:r>
      <w:r w:rsidRPr="004A454F">
        <w:rPr>
          <w:color w:val="auto"/>
          <w:sz w:val="20"/>
          <w:szCs w:val="20"/>
          <w:lang w:val="en-IE"/>
        </w:rPr>
        <w:t xml:space="preserve"> M. </w:t>
      </w:r>
      <w:proofErr w:type="spellStart"/>
      <w:r w:rsidRPr="004A454F">
        <w:rPr>
          <w:color w:val="auto"/>
          <w:sz w:val="20"/>
          <w:szCs w:val="20"/>
          <w:lang w:val="en-IE"/>
        </w:rPr>
        <w:t>Christiaens</w:t>
      </w:r>
      <w:proofErr w:type="spellEnd"/>
      <w:r w:rsidRPr="004A454F">
        <w:rPr>
          <w:color w:val="auto"/>
          <w:sz w:val="20"/>
          <w:szCs w:val="20"/>
          <w:lang w:val="en-IE"/>
        </w:rPr>
        <w:t xml:space="preserve">, </w:t>
      </w:r>
      <w:r w:rsidRPr="004A454F">
        <w:rPr>
          <w:color w:val="auto"/>
          <w:sz w:val="20"/>
          <w:szCs w:val="20"/>
          <w:vertAlign w:val="superscript"/>
          <w:lang w:val="en-IE"/>
        </w:rPr>
        <w:t>3</w:t>
      </w:r>
      <w:r w:rsidRPr="004A454F">
        <w:rPr>
          <w:color w:val="auto"/>
          <w:sz w:val="20"/>
          <w:szCs w:val="20"/>
          <w:lang w:val="en-IE"/>
        </w:rPr>
        <w:t xml:space="preserve"> S. </w:t>
      </w:r>
      <w:proofErr w:type="spellStart"/>
      <w:r w:rsidRPr="004A454F">
        <w:rPr>
          <w:color w:val="auto"/>
          <w:sz w:val="20"/>
          <w:szCs w:val="20"/>
          <w:lang w:val="en-IE"/>
        </w:rPr>
        <w:t>Lalondrelle</w:t>
      </w:r>
      <w:proofErr w:type="spellEnd"/>
      <w:r w:rsidRPr="004A454F">
        <w:rPr>
          <w:color w:val="auto"/>
          <w:sz w:val="20"/>
          <w:szCs w:val="20"/>
          <w:lang w:val="en-IE"/>
        </w:rPr>
        <w:t xml:space="preserve">, </w:t>
      </w:r>
      <w:r w:rsidRPr="004A454F">
        <w:rPr>
          <w:color w:val="auto"/>
          <w:sz w:val="20"/>
          <w:szCs w:val="20"/>
          <w:vertAlign w:val="superscript"/>
          <w:lang w:val="en-IE"/>
        </w:rPr>
        <w:t>4</w:t>
      </w:r>
      <w:r w:rsidRPr="004A454F">
        <w:rPr>
          <w:color w:val="auto"/>
          <w:sz w:val="20"/>
          <w:szCs w:val="20"/>
          <w:lang w:val="en-IE"/>
        </w:rPr>
        <w:t xml:space="preserve"> W.D. Zhao,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5</w:t>
      </w:r>
      <w:r w:rsidRPr="004A454F">
        <w:rPr>
          <w:color w:val="auto"/>
          <w:sz w:val="20"/>
          <w:szCs w:val="20"/>
          <w:lang w:val="en-IE"/>
        </w:rPr>
        <w:t xml:space="preserve"> S. Suzuki, </w:t>
      </w:r>
      <w:r w:rsidRPr="004A454F">
        <w:rPr>
          <w:color w:val="auto"/>
          <w:sz w:val="20"/>
          <w:szCs w:val="20"/>
          <w:vertAlign w:val="superscript"/>
          <w:lang w:val="en-IE"/>
        </w:rPr>
        <w:t>6</w:t>
      </w:r>
      <w:r w:rsidRPr="004A454F">
        <w:rPr>
          <w:color w:val="auto"/>
          <w:sz w:val="20"/>
          <w:szCs w:val="20"/>
          <w:lang w:val="en-IE"/>
        </w:rPr>
        <w:t xml:space="preserve"> K. </w:t>
      </w:r>
      <w:proofErr w:type="spellStart"/>
      <w:r w:rsidRPr="004A454F">
        <w:rPr>
          <w:color w:val="auto"/>
          <w:sz w:val="20"/>
          <w:szCs w:val="20"/>
          <w:lang w:val="en-IE"/>
        </w:rPr>
        <w:t>Reginacova</w:t>
      </w:r>
      <w:proofErr w:type="spellEnd"/>
      <w:r w:rsidRPr="004A454F">
        <w:rPr>
          <w:color w:val="auto"/>
          <w:sz w:val="20"/>
          <w:szCs w:val="20"/>
          <w:lang w:val="en-IE"/>
        </w:rPr>
        <w:t>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</w:t>
      </w:r>
    </w:p>
    <w:p w:rsidR="00C01B32" w:rsidRPr="004A454F" w:rsidRDefault="00C01B32" w:rsidP="004A454F">
      <w:pPr>
        <w:spacing w:line="360" w:lineRule="auto"/>
        <w:ind w:left="0" w:right="0" w:firstLine="0"/>
        <w:jc w:val="left"/>
        <w:rPr>
          <w:color w:val="auto"/>
          <w:sz w:val="20"/>
          <w:szCs w:val="20"/>
          <w:lang w:val="en-IE"/>
        </w:rPr>
      </w:pPr>
      <w:r w:rsidRPr="004A454F">
        <w:rPr>
          <w:color w:val="auto"/>
          <w:sz w:val="20"/>
          <w:szCs w:val="20"/>
          <w:vertAlign w:val="superscript"/>
          <w:lang w:val="en-IE"/>
        </w:rPr>
        <w:t>7</w:t>
      </w:r>
      <w:r w:rsidRPr="004A454F">
        <w:rPr>
          <w:color w:val="auto"/>
          <w:sz w:val="20"/>
          <w:szCs w:val="20"/>
          <w:lang w:val="en-IE"/>
        </w:rPr>
        <w:t xml:space="preserve"> L. </w:t>
      </w:r>
      <w:proofErr w:type="spellStart"/>
      <w:r w:rsidRPr="004A454F">
        <w:rPr>
          <w:color w:val="auto"/>
          <w:sz w:val="20"/>
          <w:szCs w:val="20"/>
          <w:lang w:val="en-IE"/>
        </w:rPr>
        <w:t>Helpman</w:t>
      </w:r>
      <w:proofErr w:type="spellEnd"/>
      <w:r w:rsidRPr="004A454F">
        <w:rPr>
          <w:color w:val="auto"/>
          <w:sz w:val="20"/>
          <w:szCs w:val="20"/>
          <w:lang w:val="en-IE"/>
        </w:rPr>
        <w:t>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8</w:t>
      </w:r>
      <w:r w:rsidRPr="004A454F">
        <w:rPr>
          <w:color w:val="auto"/>
          <w:sz w:val="20"/>
          <w:szCs w:val="20"/>
          <w:lang w:val="en-IE"/>
        </w:rPr>
        <w:t xml:space="preserve"> A. </w:t>
      </w:r>
      <w:proofErr w:type="spellStart"/>
      <w:r w:rsidRPr="004A454F">
        <w:rPr>
          <w:color w:val="auto"/>
          <w:sz w:val="20"/>
          <w:szCs w:val="20"/>
          <w:lang w:val="en-IE"/>
        </w:rPr>
        <w:t>Ayhan</w:t>
      </w:r>
      <w:proofErr w:type="spellEnd"/>
      <w:r w:rsidRPr="004A454F">
        <w:rPr>
          <w:color w:val="auto"/>
          <w:sz w:val="20"/>
          <w:szCs w:val="20"/>
          <w:lang w:val="en-IE"/>
        </w:rPr>
        <w:t>,</w:t>
      </w:r>
      <w:r w:rsidRPr="004A454F">
        <w:rPr>
          <w:color w:val="auto"/>
          <w:sz w:val="20"/>
          <w:szCs w:val="20"/>
          <w:vertAlign w:val="superscript"/>
          <w:lang w:val="en-IE"/>
        </w:rPr>
        <w:t xml:space="preserve"> 9</w:t>
      </w:r>
      <w:r w:rsidRPr="004A454F">
        <w:rPr>
          <w:color w:val="auto"/>
          <w:sz w:val="20"/>
          <w:szCs w:val="20"/>
          <w:lang w:val="en-IE"/>
        </w:rPr>
        <w:t xml:space="preserve"> F. </w:t>
      </w:r>
      <w:proofErr w:type="spellStart"/>
      <w:r w:rsidRPr="004A454F">
        <w:rPr>
          <w:color w:val="auto"/>
          <w:sz w:val="20"/>
          <w:szCs w:val="20"/>
          <w:lang w:val="en-IE"/>
        </w:rPr>
        <w:t>Zagouri</w:t>
      </w:r>
      <w:proofErr w:type="spellEnd"/>
      <w:r w:rsidRPr="004A454F">
        <w:rPr>
          <w:color w:val="auto"/>
          <w:sz w:val="20"/>
          <w:szCs w:val="20"/>
          <w:lang w:val="en-IE"/>
        </w:rPr>
        <w:t xml:space="preserve">, </w:t>
      </w:r>
      <w:proofErr w:type="gramStart"/>
      <w:r w:rsidRPr="004A454F">
        <w:rPr>
          <w:color w:val="auto"/>
          <w:sz w:val="20"/>
          <w:szCs w:val="20"/>
          <w:vertAlign w:val="superscript"/>
          <w:lang w:val="en-IE"/>
        </w:rPr>
        <w:t>10</w:t>
      </w:r>
      <w:r w:rsidRPr="004A454F">
        <w:rPr>
          <w:color w:val="auto"/>
          <w:sz w:val="20"/>
          <w:szCs w:val="20"/>
          <w:lang w:val="en-IE"/>
        </w:rPr>
        <w:t xml:space="preserve"> </w:t>
      </w:r>
      <w:r w:rsidR="004A454F" w:rsidRPr="004A454F">
        <w:rPr>
          <w:color w:val="auto"/>
          <w:sz w:val="20"/>
          <w:szCs w:val="20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B.</w:t>
      </w:r>
      <w:proofErr w:type="gramEnd"/>
      <w:r w:rsidR="00D22048" w:rsidRPr="004A454F">
        <w:rPr>
          <w:color w:val="auto"/>
          <w:sz w:val="20"/>
          <w:szCs w:val="20"/>
          <w:lang w:val="en-IE"/>
        </w:rPr>
        <w:t xml:space="preserve"> Aktas,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>11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L. Bjorge,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>12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 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K. Romano,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13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M. Aguilar Vasquez,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>14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                   </w:t>
      </w:r>
      <w:r w:rsidR="00D22048" w:rsidRPr="004A454F">
        <w:rPr>
          <w:color w:val="auto"/>
          <w:sz w:val="20"/>
          <w:szCs w:val="20"/>
          <w:lang w:val="en-IE"/>
        </w:rPr>
        <w:t>F. Cruz,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>15</w:t>
      </w:r>
      <w:r w:rsidRPr="004A454F">
        <w:rPr>
          <w:color w:val="auto"/>
          <w:sz w:val="20"/>
          <w:szCs w:val="20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P. Rodríguez Monarca,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16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K. Yamada,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17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K. Li,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17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E.C. Fields,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 xml:space="preserve">18 </w:t>
      </w:r>
      <w:r w:rsidR="004A454F">
        <w:rPr>
          <w:color w:val="auto"/>
          <w:sz w:val="20"/>
          <w:szCs w:val="20"/>
          <w:vertAlign w:val="superscript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and</w:t>
      </w:r>
      <w:r w:rsidRPr="004A454F">
        <w:rPr>
          <w:color w:val="auto"/>
          <w:sz w:val="20"/>
          <w:szCs w:val="20"/>
          <w:lang w:val="en-IE"/>
        </w:rPr>
        <w:t xml:space="preserve"> </w:t>
      </w:r>
      <w:r w:rsidR="00D22048" w:rsidRPr="004A454F">
        <w:rPr>
          <w:color w:val="auto"/>
          <w:sz w:val="20"/>
          <w:szCs w:val="20"/>
          <w:lang w:val="en-IE"/>
        </w:rPr>
        <w:t>D. Lorusso</w:t>
      </w:r>
      <w:r w:rsidR="00D22048" w:rsidRPr="004A454F">
        <w:rPr>
          <w:color w:val="auto"/>
          <w:sz w:val="20"/>
          <w:szCs w:val="20"/>
          <w:vertAlign w:val="superscript"/>
          <w:lang w:val="en-IE"/>
        </w:rPr>
        <w:t>19</w:t>
      </w:r>
      <w:r w:rsidR="00D22048" w:rsidRPr="004A454F">
        <w:rPr>
          <w:color w:val="auto"/>
          <w:sz w:val="20"/>
          <w:szCs w:val="20"/>
          <w:lang w:val="en-IE"/>
        </w:rPr>
        <w:t xml:space="preserve">; </w:t>
      </w:r>
    </w:p>
    <w:p w:rsidR="00C01B32" w:rsidRPr="004A454F" w:rsidRDefault="00C01B32" w:rsidP="00C01B32">
      <w:pPr>
        <w:spacing w:after="7" w:line="360" w:lineRule="auto"/>
        <w:ind w:left="-5" w:right="0"/>
        <w:jc w:val="left"/>
        <w:rPr>
          <w:color w:val="auto"/>
          <w:sz w:val="20"/>
          <w:szCs w:val="20"/>
          <w:vertAlign w:val="superscript"/>
          <w:lang w:val="en-IE"/>
        </w:rPr>
      </w:pPr>
    </w:p>
    <w:p w:rsidR="0079472A" w:rsidRPr="0000742F" w:rsidRDefault="00D22048" w:rsidP="00C01B32">
      <w:pPr>
        <w:spacing w:after="7" w:line="360" w:lineRule="auto"/>
        <w:ind w:left="-5" w:right="0"/>
        <w:jc w:val="left"/>
        <w:rPr>
          <w:i/>
          <w:sz w:val="20"/>
          <w:szCs w:val="20"/>
          <w:lang w:val="en-IE"/>
        </w:rPr>
      </w:pPr>
      <w:r w:rsidRPr="0000742F">
        <w:rPr>
          <w:i/>
          <w:sz w:val="20"/>
          <w:szCs w:val="20"/>
          <w:vertAlign w:val="superscript"/>
          <w:lang w:val="en-IE"/>
        </w:rPr>
        <w:t>1</w:t>
      </w:r>
      <w:r w:rsidRPr="0000742F">
        <w:rPr>
          <w:i/>
          <w:sz w:val="20"/>
          <w:szCs w:val="20"/>
          <w:lang w:val="en-IE"/>
        </w:rPr>
        <w:t xml:space="preserve">Radiation Oncology Unit, Responsible Research Hospital, Campobasso, Italy, </w:t>
      </w:r>
      <w:r w:rsidRPr="0000742F">
        <w:rPr>
          <w:i/>
          <w:sz w:val="20"/>
          <w:szCs w:val="20"/>
          <w:vertAlign w:val="superscript"/>
          <w:lang w:val="en-IE"/>
        </w:rPr>
        <w:t>2</w:t>
      </w:r>
      <w:r w:rsidRPr="0000742F">
        <w:rPr>
          <w:i/>
          <w:sz w:val="20"/>
          <w:szCs w:val="20"/>
          <w:lang w:val="en-IE"/>
        </w:rPr>
        <w:t xml:space="preserve">Radiotherapy Unit, Fondazione IRCCS </w:t>
      </w:r>
      <w:proofErr w:type="spellStart"/>
      <w:r w:rsidRPr="0000742F">
        <w:rPr>
          <w:i/>
          <w:sz w:val="20"/>
          <w:szCs w:val="20"/>
          <w:lang w:val="en-IE"/>
        </w:rPr>
        <w:t>Istituto</w:t>
      </w:r>
      <w:proofErr w:type="spellEnd"/>
      <w:r w:rsidRPr="0000742F">
        <w:rPr>
          <w:i/>
          <w:sz w:val="20"/>
          <w:szCs w:val="20"/>
          <w:lang w:val="en-IE"/>
        </w:rPr>
        <w:t xml:space="preserve"> Nazionale </w:t>
      </w:r>
      <w:proofErr w:type="spellStart"/>
      <w:r w:rsidRPr="0000742F">
        <w:rPr>
          <w:i/>
          <w:sz w:val="20"/>
          <w:szCs w:val="20"/>
          <w:lang w:val="en-IE"/>
        </w:rPr>
        <w:t>dei</w:t>
      </w:r>
      <w:proofErr w:type="spellEnd"/>
      <w:r w:rsidRPr="0000742F">
        <w:rPr>
          <w:i/>
          <w:sz w:val="20"/>
          <w:szCs w:val="20"/>
          <w:lang w:val="en-IE"/>
        </w:rPr>
        <w:t xml:space="preserve"> </w:t>
      </w:r>
      <w:proofErr w:type="spellStart"/>
      <w:r w:rsidRPr="0000742F">
        <w:rPr>
          <w:i/>
          <w:sz w:val="20"/>
          <w:szCs w:val="20"/>
          <w:lang w:val="en-IE"/>
        </w:rPr>
        <w:t>Tumori</w:t>
      </w:r>
      <w:proofErr w:type="spellEnd"/>
      <w:r w:rsidRPr="0000742F">
        <w:rPr>
          <w:i/>
          <w:sz w:val="20"/>
          <w:szCs w:val="20"/>
          <w:lang w:val="en-IE"/>
        </w:rPr>
        <w:t xml:space="preserve">, Milan, Italy, </w:t>
      </w:r>
      <w:r w:rsidRPr="0000742F">
        <w:rPr>
          <w:i/>
          <w:sz w:val="20"/>
          <w:szCs w:val="20"/>
          <w:vertAlign w:val="superscript"/>
          <w:lang w:val="en-IE"/>
        </w:rPr>
        <w:t>3</w:t>
      </w:r>
      <w:r w:rsidRPr="0000742F">
        <w:rPr>
          <w:i/>
          <w:sz w:val="20"/>
          <w:szCs w:val="20"/>
          <w:lang w:val="en-IE"/>
        </w:rPr>
        <w:t xml:space="preserve">Department of Radiation-Oncology, Leuven Cancer Institute, University Hospitals Leuven, Leuven, Belgium, </w:t>
      </w:r>
      <w:r w:rsidRPr="0000742F">
        <w:rPr>
          <w:i/>
          <w:sz w:val="20"/>
          <w:szCs w:val="20"/>
          <w:vertAlign w:val="superscript"/>
          <w:lang w:val="en-IE"/>
        </w:rPr>
        <w:t>4</w:t>
      </w:r>
      <w:r w:rsidRPr="0000742F">
        <w:rPr>
          <w:i/>
          <w:sz w:val="20"/>
          <w:szCs w:val="20"/>
          <w:lang w:val="en-IE"/>
        </w:rPr>
        <w:t xml:space="preserve">Department of Clinical Oncology, The Royal Marsden NHS Foundation Trust and Institute of Cancer Research London, London, United Kingdom, </w:t>
      </w:r>
      <w:r w:rsidRPr="0000742F">
        <w:rPr>
          <w:i/>
          <w:sz w:val="20"/>
          <w:szCs w:val="20"/>
          <w:vertAlign w:val="superscript"/>
          <w:lang w:val="en-IE"/>
        </w:rPr>
        <w:t>5</w:t>
      </w:r>
      <w:r w:rsidRPr="0000742F">
        <w:rPr>
          <w:i/>
          <w:sz w:val="20"/>
          <w:szCs w:val="20"/>
          <w:lang w:val="en-IE"/>
        </w:rPr>
        <w:t xml:space="preserve">Department of Obstetrics and </w:t>
      </w:r>
      <w:proofErr w:type="spellStart"/>
      <w:r w:rsidRPr="0000742F">
        <w:rPr>
          <w:i/>
          <w:sz w:val="20"/>
          <w:szCs w:val="20"/>
          <w:lang w:val="en-IE"/>
        </w:rPr>
        <w:t>Gynecology</w:t>
      </w:r>
      <w:proofErr w:type="spellEnd"/>
      <w:r w:rsidRPr="0000742F">
        <w:rPr>
          <w:i/>
          <w:sz w:val="20"/>
          <w:szCs w:val="20"/>
          <w:lang w:val="en-IE"/>
        </w:rPr>
        <w:t>, The First Af</w:t>
      </w:r>
      <w:r w:rsidRPr="0000742F">
        <w:rPr>
          <w:rFonts w:eastAsia="Calibri"/>
          <w:i/>
          <w:sz w:val="20"/>
          <w:szCs w:val="20"/>
          <w:lang w:val="en-IE"/>
        </w:rPr>
        <w:t>fi</w:t>
      </w:r>
      <w:r w:rsidRPr="0000742F">
        <w:rPr>
          <w:i/>
          <w:sz w:val="20"/>
          <w:szCs w:val="20"/>
          <w:lang w:val="en-IE"/>
        </w:rPr>
        <w:t>liated Hospital of University of Science and Technology of China (USTC), Division of Life Sciences and Medicine, University of Science and Technology of China, Hefei, China,</w:t>
      </w:r>
      <w:r w:rsidRPr="00314ED5">
        <w:rPr>
          <w:i/>
          <w:sz w:val="20"/>
          <w:szCs w:val="20"/>
          <w:vertAlign w:val="superscript"/>
          <w:lang w:val="en-IE"/>
        </w:rPr>
        <w:t xml:space="preserve"> 6</w:t>
      </w:r>
      <w:r w:rsidRPr="0000742F">
        <w:rPr>
          <w:i/>
          <w:sz w:val="20"/>
          <w:szCs w:val="20"/>
          <w:lang w:val="en-IE"/>
        </w:rPr>
        <w:t xml:space="preserve"> Department of </w:t>
      </w:r>
      <w:proofErr w:type="spellStart"/>
      <w:r w:rsidRPr="0000742F">
        <w:rPr>
          <w:i/>
          <w:sz w:val="20"/>
          <w:szCs w:val="20"/>
          <w:lang w:val="en-IE"/>
        </w:rPr>
        <w:t>Gynecologic</w:t>
      </w:r>
      <w:proofErr w:type="spellEnd"/>
      <w:r w:rsidRPr="0000742F">
        <w:rPr>
          <w:i/>
          <w:sz w:val="20"/>
          <w:szCs w:val="20"/>
          <w:lang w:val="en-IE"/>
        </w:rPr>
        <w:t xml:space="preserve"> Oncology, Aichi Cancer </w:t>
      </w:r>
      <w:proofErr w:type="spellStart"/>
      <w:r w:rsidRPr="0000742F">
        <w:rPr>
          <w:i/>
          <w:sz w:val="20"/>
          <w:szCs w:val="20"/>
          <w:lang w:val="en-IE"/>
        </w:rPr>
        <w:t>Center</w:t>
      </w:r>
      <w:proofErr w:type="spellEnd"/>
      <w:r w:rsidRPr="0000742F">
        <w:rPr>
          <w:i/>
          <w:sz w:val="20"/>
          <w:szCs w:val="20"/>
          <w:lang w:val="en-IE"/>
        </w:rPr>
        <w:t xml:space="preserve"> Hospital, Aichi,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Japan, </w:t>
      </w:r>
      <w:r w:rsidRPr="0000742F">
        <w:rPr>
          <w:i/>
          <w:sz w:val="20"/>
          <w:szCs w:val="20"/>
          <w:vertAlign w:val="superscript"/>
          <w:lang w:val="en-IE"/>
        </w:rPr>
        <w:t>7</w:t>
      </w:r>
      <w:r w:rsidRPr="0000742F">
        <w:rPr>
          <w:i/>
          <w:sz w:val="20"/>
          <w:szCs w:val="20"/>
          <w:lang w:val="en-IE"/>
        </w:rPr>
        <w:t xml:space="preserve">Department of Oncology, University Hospital </w:t>
      </w:r>
      <w:proofErr w:type="spellStart"/>
      <w:r w:rsidRPr="0000742F">
        <w:rPr>
          <w:i/>
          <w:sz w:val="20"/>
          <w:szCs w:val="20"/>
          <w:lang w:val="en-IE"/>
        </w:rPr>
        <w:t>Kralovske</w:t>
      </w:r>
      <w:proofErr w:type="spellEnd"/>
      <w:r w:rsidRPr="0000742F">
        <w:rPr>
          <w:i/>
          <w:sz w:val="20"/>
          <w:szCs w:val="20"/>
          <w:lang w:val="en-IE"/>
        </w:rPr>
        <w:t xml:space="preserve"> </w:t>
      </w:r>
      <w:proofErr w:type="spellStart"/>
      <w:r w:rsidRPr="0000742F">
        <w:rPr>
          <w:i/>
          <w:sz w:val="20"/>
          <w:szCs w:val="20"/>
          <w:lang w:val="en-IE"/>
        </w:rPr>
        <w:t>Vinohrady</w:t>
      </w:r>
      <w:proofErr w:type="spellEnd"/>
      <w:r w:rsidRPr="0000742F">
        <w:rPr>
          <w:i/>
          <w:sz w:val="20"/>
          <w:szCs w:val="20"/>
          <w:lang w:val="en-IE"/>
        </w:rPr>
        <w:t>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>Prague, Czech Republic and Charles University, Third Faculty of Medicine,</w:t>
      </w:r>
    </w:p>
    <w:p w:rsidR="0079472A" w:rsidRPr="0000742F" w:rsidRDefault="00D22048" w:rsidP="00C01B32">
      <w:pPr>
        <w:spacing w:after="7" w:line="360" w:lineRule="auto"/>
        <w:ind w:left="-5" w:right="0"/>
        <w:jc w:val="left"/>
        <w:rPr>
          <w:i/>
          <w:sz w:val="20"/>
          <w:szCs w:val="20"/>
          <w:lang w:val="en-IE"/>
        </w:rPr>
      </w:pPr>
      <w:r w:rsidRPr="0000742F">
        <w:rPr>
          <w:i/>
          <w:sz w:val="20"/>
          <w:szCs w:val="20"/>
          <w:lang w:val="en-IE"/>
        </w:rPr>
        <w:t xml:space="preserve">Prague, Czech Republic, </w:t>
      </w:r>
      <w:r w:rsidRPr="0000742F">
        <w:rPr>
          <w:i/>
          <w:sz w:val="20"/>
          <w:szCs w:val="20"/>
          <w:vertAlign w:val="superscript"/>
          <w:lang w:val="en-IE"/>
        </w:rPr>
        <w:t>8</w:t>
      </w:r>
      <w:r w:rsidRPr="0000742F">
        <w:rPr>
          <w:i/>
          <w:sz w:val="20"/>
          <w:szCs w:val="20"/>
          <w:lang w:val="en-IE"/>
        </w:rPr>
        <w:t>Tel Aviv University and Sheba Medi</w:t>
      </w:r>
      <w:bookmarkStart w:id="0" w:name="_GoBack"/>
      <w:bookmarkEnd w:id="0"/>
      <w:r w:rsidRPr="0000742F">
        <w:rPr>
          <w:i/>
          <w:sz w:val="20"/>
          <w:szCs w:val="20"/>
          <w:lang w:val="en-IE"/>
        </w:rPr>
        <w:t xml:space="preserve">cal </w:t>
      </w:r>
      <w:proofErr w:type="spellStart"/>
      <w:r w:rsidRPr="0000742F">
        <w:rPr>
          <w:i/>
          <w:sz w:val="20"/>
          <w:szCs w:val="20"/>
          <w:lang w:val="en-IE"/>
        </w:rPr>
        <w:t>Center</w:t>
      </w:r>
      <w:proofErr w:type="spellEnd"/>
      <w:r w:rsidRPr="0000742F">
        <w:rPr>
          <w:i/>
          <w:sz w:val="20"/>
          <w:szCs w:val="20"/>
          <w:lang w:val="en-IE"/>
        </w:rPr>
        <w:t>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Ramat Gan, Israel, </w:t>
      </w:r>
      <w:r w:rsidRPr="0000742F">
        <w:rPr>
          <w:i/>
          <w:sz w:val="20"/>
          <w:szCs w:val="20"/>
          <w:vertAlign w:val="superscript"/>
          <w:lang w:val="en-IE"/>
        </w:rPr>
        <w:t>9</w:t>
      </w:r>
      <w:r w:rsidRPr="0000742F">
        <w:rPr>
          <w:i/>
          <w:sz w:val="20"/>
          <w:szCs w:val="20"/>
          <w:lang w:val="en-IE"/>
        </w:rPr>
        <w:t xml:space="preserve">Turkish Society of </w:t>
      </w:r>
      <w:proofErr w:type="spellStart"/>
      <w:r w:rsidRPr="0000742F">
        <w:rPr>
          <w:i/>
          <w:sz w:val="20"/>
          <w:szCs w:val="20"/>
          <w:lang w:val="en-IE"/>
        </w:rPr>
        <w:t>Gynecologic</w:t>
      </w:r>
      <w:proofErr w:type="spellEnd"/>
      <w:r w:rsidRPr="0000742F">
        <w:rPr>
          <w:i/>
          <w:sz w:val="20"/>
          <w:szCs w:val="20"/>
          <w:lang w:val="en-IE"/>
        </w:rPr>
        <w:t xml:space="preserve"> Oncology (TRSGO),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proofErr w:type="spellStart"/>
      <w:r w:rsidRPr="0000742F">
        <w:rPr>
          <w:i/>
          <w:sz w:val="20"/>
          <w:szCs w:val="20"/>
          <w:lang w:val="en-IE"/>
        </w:rPr>
        <w:t>Ba</w:t>
      </w:r>
      <w:r w:rsidRPr="0000742F">
        <w:rPr>
          <w:rFonts w:eastAsia="Calibri"/>
          <w:i/>
          <w:sz w:val="20"/>
          <w:szCs w:val="20"/>
          <w:lang w:val="en-IE"/>
        </w:rPr>
        <w:t>¸</w:t>
      </w:r>
      <w:r w:rsidRPr="0000742F">
        <w:rPr>
          <w:i/>
          <w:sz w:val="20"/>
          <w:szCs w:val="20"/>
          <w:lang w:val="en-IE"/>
        </w:rPr>
        <w:t>skent</w:t>
      </w:r>
      <w:proofErr w:type="spellEnd"/>
      <w:r w:rsidRPr="0000742F">
        <w:rPr>
          <w:i/>
          <w:sz w:val="20"/>
          <w:szCs w:val="20"/>
          <w:lang w:val="en-IE"/>
        </w:rPr>
        <w:t xml:space="preserve"> University, Ankara, Turkey, </w:t>
      </w:r>
      <w:r w:rsidRPr="0000742F">
        <w:rPr>
          <w:i/>
          <w:sz w:val="20"/>
          <w:szCs w:val="20"/>
          <w:vertAlign w:val="superscript"/>
          <w:lang w:val="en-IE"/>
        </w:rPr>
        <w:t>10</w:t>
      </w:r>
      <w:r w:rsidRPr="0000742F">
        <w:rPr>
          <w:i/>
          <w:sz w:val="20"/>
          <w:szCs w:val="20"/>
          <w:lang w:val="en-IE"/>
        </w:rPr>
        <w:t>Alexandra Hospital, Athens, Athens,</w:t>
      </w:r>
    </w:p>
    <w:p w:rsidR="0079472A" w:rsidRDefault="00D22048" w:rsidP="0021768B">
      <w:pPr>
        <w:spacing w:after="7" w:line="360" w:lineRule="auto"/>
        <w:ind w:left="-5" w:right="0"/>
        <w:jc w:val="left"/>
        <w:rPr>
          <w:i/>
          <w:sz w:val="20"/>
          <w:szCs w:val="20"/>
          <w:lang w:val="en-IE"/>
        </w:rPr>
      </w:pPr>
      <w:r w:rsidRPr="0000742F">
        <w:rPr>
          <w:i/>
          <w:sz w:val="20"/>
          <w:szCs w:val="20"/>
          <w:lang w:val="en-IE"/>
        </w:rPr>
        <w:t xml:space="preserve">Greece, </w:t>
      </w:r>
      <w:r w:rsidRPr="0000742F">
        <w:rPr>
          <w:i/>
          <w:sz w:val="20"/>
          <w:szCs w:val="20"/>
          <w:vertAlign w:val="superscript"/>
          <w:lang w:val="en-IE"/>
        </w:rPr>
        <w:t>11</w:t>
      </w:r>
      <w:r w:rsidRPr="0000742F">
        <w:rPr>
          <w:i/>
          <w:sz w:val="20"/>
          <w:szCs w:val="20"/>
          <w:lang w:val="en-IE"/>
        </w:rPr>
        <w:t>Department of Gynaecology, University Hospital Leipzig, Leipzig,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Germany, </w:t>
      </w:r>
      <w:r w:rsidRPr="0000742F">
        <w:rPr>
          <w:i/>
          <w:sz w:val="20"/>
          <w:szCs w:val="20"/>
          <w:vertAlign w:val="superscript"/>
          <w:lang w:val="en-IE"/>
        </w:rPr>
        <w:t>12</w:t>
      </w:r>
      <w:r w:rsidRPr="0000742F">
        <w:rPr>
          <w:i/>
          <w:sz w:val="20"/>
          <w:szCs w:val="20"/>
          <w:lang w:val="en-IE"/>
        </w:rPr>
        <w:t xml:space="preserve">Haukeland University Hospital, Department of Obstetrics and </w:t>
      </w:r>
      <w:proofErr w:type="spellStart"/>
      <w:r w:rsidRPr="0000742F">
        <w:rPr>
          <w:i/>
          <w:sz w:val="20"/>
          <w:szCs w:val="20"/>
          <w:lang w:val="en-IE"/>
        </w:rPr>
        <w:t>Gynecology</w:t>
      </w:r>
      <w:proofErr w:type="spellEnd"/>
      <w:r w:rsidRPr="0000742F">
        <w:rPr>
          <w:i/>
          <w:sz w:val="20"/>
          <w:szCs w:val="20"/>
          <w:lang w:val="en-IE"/>
        </w:rPr>
        <w:t xml:space="preserve"> and University of Bergen, Department of Clinical Science, </w:t>
      </w:r>
      <w:proofErr w:type="spellStart"/>
      <w:r w:rsidRPr="0000742F">
        <w:rPr>
          <w:i/>
          <w:sz w:val="20"/>
          <w:szCs w:val="20"/>
          <w:lang w:val="en-IE"/>
        </w:rPr>
        <w:t>Center</w:t>
      </w:r>
      <w:proofErr w:type="spellEnd"/>
      <w:r w:rsidRPr="0000742F">
        <w:rPr>
          <w:i/>
          <w:sz w:val="20"/>
          <w:szCs w:val="20"/>
          <w:lang w:val="en-IE"/>
        </w:rPr>
        <w:t xml:space="preserve"> for Cancer Biomarkers CCBIO, Bergen, Norway, </w:t>
      </w:r>
      <w:r w:rsidRPr="0000742F">
        <w:rPr>
          <w:i/>
          <w:sz w:val="20"/>
          <w:szCs w:val="20"/>
          <w:vertAlign w:val="superscript"/>
          <w:lang w:val="en-IE"/>
        </w:rPr>
        <w:t>13</w:t>
      </w:r>
      <w:r w:rsidRPr="0000742F">
        <w:rPr>
          <w:i/>
          <w:sz w:val="20"/>
          <w:szCs w:val="20"/>
          <w:lang w:val="en-IE"/>
        </w:rPr>
        <w:t>Department of Radiation</w:t>
      </w:r>
      <w:r w:rsidR="00DE25A8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Oncology, University of Virginia School of Medicine, Charlottesville, VA, </w:t>
      </w:r>
      <w:r w:rsidRPr="0021768B">
        <w:rPr>
          <w:i/>
          <w:sz w:val="20"/>
          <w:szCs w:val="20"/>
          <w:vertAlign w:val="superscript"/>
          <w:lang w:val="en-IE"/>
        </w:rPr>
        <w:t>14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Medi-K </w:t>
      </w:r>
      <w:proofErr w:type="spellStart"/>
      <w:r w:rsidRPr="0000742F">
        <w:rPr>
          <w:i/>
          <w:sz w:val="20"/>
          <w:szCs w:val="20"/>
          <w:lang w:val="en-IE"/>
        </w:rPr>
        <w:t>Cayala</w:t>
      </w:r>
      <w:proofErr w:type="spellEnd"/>
      <w:r w:rsidRPr="0000742F">
        <w:rPr>
          <w:i/>
          <w:sz w:val="20"/>
          <w:szCs w:val="20"/>
          <w:lang w:val="en-IE"/>
        </w:rPr>
        <w:t>, Guatemala City, Guatemala,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="0021768B" w:rsidRPr="0021768B">
        <w:rPr>
          <w:i/>
          <w:sz w:val="20"/>
          <w:szCs w:val="20"/>
          <w:vertAlign w:val="superscript"/>
          <w:lang w:val="en-IE"/>
        </w:rPr>
        <w:t>15</w:t>
      </w:r>
      <w:r w:rsidR="0021768B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Instituto </w:t>
      </w:r>
      <w:proofErr w:type="spellStart"/>
      <w:r w:rsidRPr="0000742F">
        <w:rPr>
          <w:i/>
          <w:sz w:val="20"/>
          <w:szCs w:val="20"/>
          <w:lang w:val="en-IE"/>
        </w:rPr>
        <w:t>Brasileiro</w:t>
      </w:r>
      <w:proofErr w:type="spellEnd"/>
      <w:r w:rsidRPr="0000742F">
        <w:rPr>
          <w:i/>
          <w:sz w:val="20"/>
          <w:szCs w:val="20"/>
          <w:lang w:val="en-IE"/>
        </w:rPr>
        <w:t xml:space="preserve"> de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proofErr w:type="spellStart"/>
      <w:r w:rsidRPr="0000742F">
        <w:rPr>
          <w:i/>
          <w:sz w:val="20"/>
          <w:szCs w:val="20"/>
          <w:lang w:val="en-IE"/>
        </w:rPr>
        <w:t>Controle</w:t>
      </w:r>
      <w:proofErr w:type="spellEnd"/>
      <w:r w:rsidRPr="0000742F">
        <w:rPr>
          <w:i/>
          <w:sz w:val="20"/>
          <w:szCs w:val="20"/>
          <w:lang w:val="en-IE"/>
        </w:rPr>
        <w:t xml:space="preserve"> do </w:t>
      </w:r>
      <w:proofErr w:type="spellStart"/>
      <w:r w:rsidRPr="0000742F">
        <w:rPr>
          <w:i/>
          <w:sz w:val="20"/>
          <w:szCs w:val="20"/>
          <w:lang w:val="en-IE"/>
        </w:rPr>
        <w:t>C</w:t>
      </w:r>
      <w:r w:rsidR="00B83758">
        <w:rPr>
          <w:i/>
          <w:sz w:val="20"/>
          <w:szCs w:val="20"/>
          <w:lang w:val="en-IE"/>
        </w:rPr>
        <w:t>â</w:t>
      </w:r>
      <w:r w:rsidRPr="0000742F">
        <w:rPr>
          <w:i/>
          <w:sz w:val="20"/>
          <w:szCs w:val="20"/>
          <w:lang w:val="en-IE"/>
        </w:rPr>
        <w:t>ncer</w:t>
      </w:r>
      <w:proofErr w:type="spellEnd"/>
      <w:r w:rsidRPr="0000742F">
        <w:rPr>
          <w:i/>
          <w:sz w:val="20"/>
          <w:szCs w:val="20"/>
          <w:lang w:val="en-IE"/>
        </w:rPr>
        <w:t xml:space="preserve">, </w:t>
      </w:r>
      <w:r w:rsidRPr="00165450">
        <w:rPr>
          <w:i/>
          <w:sz w:val="20"/>
          <w:szCs w:val="20"/>
          <w:lang w:val="en-IE"/>
        </w:rPr>
        <w:t>S</w:t>
      </w:r>
      <w:r w:rsidR="00165450" w:rsidRPr="00165450">
        <w:rPr>
          <w:bCs/>
          <w:i/>
          <w:sz w:val="20"/>
          <w:szCs w:val="20"/>
          <w:shd w:val="clear" w:color="auto" w:fill="F2F2F2"/>
        </w:rPr>
        <w:t>ã</w:t>
      </w:r>
      <w:r w:rsidRPr="00165450">
        <w:rPr>
          <w:i/>
          <w:sz w:val="20"/>
          <w:szCs w:val="20"/>
          <w:lang w:val="en-IE"/>
        </w:rPr>
        <w:t>o</w:t>
      </w:r>
      <w:r w:rsidRPr="0000742F">
        <w:rPr>
          <w:i/>
          <w:sz w:val="20"/>
          <w:szCs w:val="20"/>
          <w:lang w:val="en-IE"/>
        </w:rPr>
        <w:t xml:space="preserve"> Paulo, SP, Brazil and Centro </w:t>
      </w:r>
      <w:proofErr w:type="spellStart"/>
      <w:r w:rsidRPr="0000742F">
        <w:rPr>
          <w:i/>
          <w:sz w:val="20"/>
          <w:szCs w:val="20"/>
          <w:lang w:val="en-IE"/>
        </w:rPr>
        <w:t>Universit</w:t>
      </w:r>
      <w:r w:rsidR="008A05F2">
        <w:rPr>
          <w:i/>
          <w:sz w:val="20"/>
          <w:szCs w:val="20"/>
          <w:lang w:val="en-IE"/>
        </w:rPr>
        <w:t>á</w:t>
      </w:r>
      <w:r w:rsidRPr="0000742F">
        <w:rPr>
          <w:i/>
          <w:sz w:val="20"/>
          <w:szCs w:val="20"/>
          <w:lang w:val="en-IE"/>
        </w:rPr>
        <w:t>rio</w:t>
      </w:r>
      <w:proofErr w:type="spellEnd"/>
      <w:r w:rsidRPr="0000742F">
        <w:rPr>
          <w:i/>
          <w:sz w:val="20"/>
          <w:szCs w:val="20"/>
          <w:lang w:val="en-IE"/>
        </w:rPr>
        <w:t xml:space="preserve"> </w:t>
      </w:r>
      <w:proofErr w:type="spellStart"/>
      <w:r w:rsidR="00165450" w:rsidRPr="00165450">
        <w:rPr>
          <w:i/>
          <w:sz w:val="20"/>
          <w:szCs w:val="20"/>
          <w:lang w:val="en-IE"/>
        </w:rPr>
        <w:t>S</w:t>
      </w:r>
      <w:r w:rsidR="00165450" w:rsidRPr="00165450">
        <w:rPr>
          <w:bCs/>
          <w:i/>
          <w:sz w:val="20"/>
          <w:szCs w:val="20"/>
          <w:shd w:val="clear" w:color="auto" w:fill="F2F2F2"/>
        </w:rPr>
        <w:t>ã</w:t>
      </w:r>
      <w:r w:rsidR="00165450" w:rsidRPr="00165450">
        <w:rPr>
          <w:i/>
          <w:sz w:val="20"/>
          <w:szCs w:val="20"/>
          <w:lang w:val="en-IE"/>
        </w:rPr>
        <w:t>o</w:t>
      </w:r>
      <w:proofErr w:type="spellEnd"/>
      <w:r w:rsidR="001B30C2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Camilo, </w:t>
      </w:r>
      <w:proofErr w:type="spellStart"/>
      <w:r w:rsidR="00165450" w:rsidRPr="00165450">
        <w:rPr>
          <w:i/>
          <w:sz w:val="20"/>
          <w:szCs w:val="20"/>
          <w:lang w:val="en-IE"/>
        </w:rPr>
        <w:t>S</w:t>
      </w:r>
      <w:r w:rsidR="00165450" w:rsidRPr="00165450">
        <w:rPr>
          <w:bCs/>
          <w:i/>
          <w:sz w:val="20"/>
          <w:szCs w:val="20"/>
          <w:shd w:val="clear" w:color="auto" w:fill="F2F2F2"/>
        </w:rPr>
        <w:t>ã</w:t>
      </w:r>
      <w:r w:rsidR="00165450" w:rsidRPr="00165450">
        <w:rPr>
          <w:i/>
          <w:sz w:val="20"/>
          <w:szCs w:val="20"/>
          <w:lang w:val="en-IE"/>
        </w:rPr>
        <w:t>o</w:t>
      </w:r>
      <w:proofErr w:type="spellEnd"/>
      <w:r w:rsidRPr="0000742F">
        <w:rPr>
          <w:i/>
          <w:sz w:val="20"/>
          <w:szCs w:val="20"/>
          <w:lang w:val="en-IE"/>
        </w:rPr>
        <w:t xml:space="preserve"> Paulo, SP, Brazil, </w:t>
      </w:r>
      <w:r w:rsidRPr="0000742F">
        <w:rPr>
          <w:i/>
          <w:sz w:val="20"/>
          <w:szCs w:val="20"/>
          <w:vertAlign w:val="superscript"/>
          <w:lang w:val="en-IE"/>
        </w:rPr>
        <w:t>16</w:t>
      </w:r>
      <w:r w:rsidRPr="0000742F">
        <w:rPr>
          <w:i/>
          <w:sz w:val="20"/>
          <w:szCs w:val="20"/>
          <w:lang w:val="en-IE"/>
        </w:rPr>
        <w:t xml:space="preserve">Iram Cancer Research, Santiago, Chile, </w:t>
      </w:r>
      <w:r w:rsidRPr="0021768B">
        <w:rPr>
          <w:i/>
          <w:sz w:val="20"/>
          <w:szCs w:val="20"/>
          <w:vertAlign w:val="superscript"/>
          <w:lang w:val="en-IE"/>
        </w:rPr>
        <w:t>17</w:t>
      </w:r>
      <w:r w:rsidR="00DE25A8" w:rsidRPr="0000742F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>Merck &amp; Co., Inc., Rahway, NJ,</w:t>
      </w:r>
      <w:r w:rsidR="001B30C2" w:rsidRPr="0000742F">
        <w:rPr>
          <w:i/>
          <w:sz w:val="20"/>
          <w:szCs w:val="20"/>
          <w:lang w:val="en-IE"/>
        </w:rPr>
        <w:t xml:space="preserve"> </w:t>
      </w:r>
      <w:r w:rsidR="0021768B" w:rsidRPr="0021768B">
        <w:rPr>
          <w:i/>
          <w:sz w:val="20"/>
          <w:szCs w:val="20"/>
          <w:vertAlign w:val="superscript"/>
          <w:lang w:val="en-IE"/>
        </w:rPr>
        <w:t>18</w:t>
      </w:r>
      <w:r w:rsidR="0021768B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 xml:space="preserve">Department of Radiation Oncology, Virginia Commonwealth University Health System, Massey Cancer </w:t>
      </w:r>
      <w:proofErr w:type="spellStart"/>
      <w:r w:rsidRPr="0000742F">
        <w:rPr>
          <w:i/>
          <w:sz w:val="20"/>
          <w:szCs w:val="20"/>
          <w:lang w:val="en-IE"/>
        </w:rPr>
        <w:t>Center</w:t>
      </w:r>
      <w:proofErr w:type="spellEnd"/>
      <w:r w:rsidRPr="0000742F">
        <w:rPr>
          <w:i/>
          <w:sz w:val="20"/>
          <w:szCs w:val="20"/>
          <w:lang w:val="en-IE"/>
        </w:rPr>
        <w:t xml:space="preserve">, Richmond, VA, </w:t>
      </w:r>
      <w:r w:rsidRPr="0000742F">
        <w:rPr>
          <w:i/>
          <w:sz w:val="20"/>
          <w:szCs w:val="20"/>
          <w:vertAlign w:val="superscript"/>
          <w:lang w:val="en-IE"/>
        </w:rPr>
        <w:t>19</w:t>
      </w:r>
      <w:r w:rsidRPr="0000742F">
        <w:rPr>
          <w:i/>
          <w:sz w:val="20"/>
          <w:szCs w:val="20"/>
          <w:lang w:val="en-IE"/>
        </w:rPr>
        <w:t xml:space="preserve">Gynaecology Oncology Unit, Fondazione </w:t>
      </w:r>
      <w:proofErr w:type="spellStart"/>
      <w:r w:rsidRPr="0000742F">
        <w:rPr>
          <w:i/>
          <w:sz w:val="20"/>
          <w:szCs w:val="20"/>
          <w:lang w:val="en-IE"/>
        </w:rPr>
        <w:t>Policlinico</w:t>
      </w:r>
      <w:proofErr w:type="spellEnd"/>
      <w:r w:rsidRPr="0000742F">
        <w:rPr>
          <w:i/>
          <w:sz w:val="20"/>
          <w:szCs w:val="20"/>
          <w:lang w:val="en-IE"/>
        </w:rPr>
        <w:t xml:space="preserve"> Universitario A Gemelli IRCCS and Catholic University of Sacred Heart, Rome,</w:t>
      </w:r>
      <w:r w:rsidR="0021768B">
        <w:rPr>
          <w:i/>
          <w:sz w:val="20"/>
          <w:szCs w:val="20"/>
          <w:lang w:val="en-IE"/>
        </w:rPr>
        <w:t xml:space="preserve"> </w:t>
      </w:r>
      <w:r w:rsidRPr="0000742F">
        <w:rPr>
          <w:i/>
          <w:sz w:val="20"/>
          <w:szCs w:val="20"/>
          <w:lang w:val="en-IE"/>
        </w:rPr>
        <w:t>Italy</w:t>
      </w:r>
    </w:p>
    <w:p w:rsidR="0021768B" w:rsidRDefault="0021768B" w:rsidP="0021768B">
      <w:pPr>
        <w:spacing w:after="7" w:line="360" w:lineRule="auto"/>
        <w:ind w:left="-5" w:right="0"/>
        <w:jc w:val="left"/>
        <w:rPr>
          <w:i/>
          <w:sz w:val="20"/>
          <w:szCs w:val="20"/>
          <w:lang w:val="en-IE"/>
        </w:rPr>
      </w:pPr>
    </w:p>
    <w:p w:rsidR="0079472A" w:rsidRPr="0000742F" w:rsidRDefault="00D22048" w:rsidP="00C01B32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00742F">
        <w:rPr>
          <w:rFonts w:eastAsia="Calibri"/>
          <w:b/>
          <w:sz w:val="20"/>
          <w:szCs w:val="20"/>
          <w:lang w:val="en-IE"/>
        </w:rPr>
        <w:t>Purpose/Objective(s):</w:t>
      </w:r>
      <w:r w:rsidRPr="0000742F">
        <w:rPr>
          <w:rFonts w:eastAsia="Calibri"/>
          <w:sz w:val="20"/>
          <w:szCs w:val="20"/>
          <w:lang w:val="en-IE"/>
        </w:rPr>
        <w:t xml:space="preserve"> </w:t>
      </w:r>
      <w:r w:rsidRPr="0000742F">
        <w:rPr>
          <w:sz w:val="20"/>
          <w:szCs w:val="20"/>
          <w:lang w:val="en-IE"/>
        </w:rPr>
        <w:t xml:space="preserve">In ENGOT-cx11/GOG-3047/KEYNOTE-A18 (NCT 04221945),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+ CCRT improved PFS (HR = 0.70 [95% CI = 0.55</w:t>
      </w:r>
      <w:r w:rsidRPr="0000742F">
        <w:rPr>
          <w:rFonts w:eastAsia="Calibri"/>
          <w:sz w:val="20"/>
          <w:szCs w:val="20"/>
          <w:lang w:val="en-IE"/>
        </w:rPr>
        <w:t>‒</w:t>
      </w:r>
      <w:r w:rsidRPr="0000742F">
        <w:rPr>
          <w:sz w:val="20"/>
          <w:szCs w:val="20"/>
          <w:lang w:val="en-IE"/>
        </w:rPr>
        <w:t xml:space="preserve">0.89]; P = 0.0020) and showed a </w:t>
      </w:r>
      <w:proofErr w:type="spellStart"/>
      <w:r w:rsidRPr="0000742F">
        <w:rPr>
          <w:sz w:val="20"/>
          <w:szCs w:val="20"/>
          <w:lang w:val="en-IE"/>
        </w:rPr>
        <w:t>favorable</w:t>
      </w:r>
      <w:proofErr w:type="spellEnd"/>
      <w:r w:rsidRPr="0000742F">
        <w:rPr>
          <w:sz w:val="20"/>
          <w:szCs w:val="20"/>
          <w:lang w:val="en-IE"/>
        </w:rPr>
        <w:t xml:space="preserve"> trend in OS (HR = 0.73 [95% CI = 0.49</w:t>
      </w:r>
      <w:r w:rsidRPr="0000742F">
        <w:rPr>
          <w:rFonts w:eastAsia="Calibri"/>
          <w:sz w:val="20"/>
          <w:szCs w:val="20"/>
          <w:lang w:val="en-IE"/>
        </w:rPr>
        <w:t xml:space="preserve">‒ </w:t>
      </w:r>
      <w:r w:rsidRPr="0000742F">
        <w:rPr>
          <w:sz w:val="20"/>
          <w:szCs w:val="20"/>
          <w:lang w:val="en-IE"/>
        </w:rPr>
        <w:t>1.07]) vs placebo (</w:t>
      </w:r>
      <w:proofErr w:type="spellStart"/>
      <w:r w:rsidRPr="0000742F">
        <w:rPr>
          <w:sz w:val="20"/>
          <w:szCs w:val="20"/>
          <w:lang w:val="en-IE"/>
        </w:rPr>
        <w:t>pbo</w:t>
      </w:r>
      <w:proofErr w:type="spellEnd"/>
      <w:r w:rsidRPr="0000742F">
        <w:rPr>
          <w:sz w:val="20"/>
          <w:szCs w:val="20"/>
          <w:lang w:val="en-IE"/>
        </w:rPr>
        <w:t>) + CCRT in high-risk LACC at interim analysis 1 (IA1). Here, we report IA1 safety data.</w:t>
      </w:r>
    </w:p>
    <w:p w:rsidR="0079472A" w:rsidRPr="0000742F" w:rsidRDefault="00D22048" w:rsidP="00C01B32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00742F">
        <w:rPr>
          <w:rFonts w:eastAsia="Calibri"/>
          <w:b/>
          <w:sz w:val="20"/>
          <w:szCs w:val="20"/>
          <w:lang w:val="en-IE"/>
        </w:rPr>
        <w:t>Materials/Methods:</w:t>
      </w:r>
      <w:r w:rsidRPr="0000742F">
        <w:rPr>
          <w:rFonts w:eastAsia="Calibri"/>
          <w:sz w:val="20"/>
          <w:szCs w:val="20"/>
          <w:lang w:val="en-IE"/>
        </w:rPr>
        <w:t xml:space="preserve"> </w:t>
      </w:r>
      <w:r w:rsidRPr="0000742F">
        <w:rPr>
          <w:sz w:val="20"/>
          <w:szCs w:val="20"/>
          <w:lang w:val="en-IE"/>
        </w:rPr>
        <w:t>Patients (pts) with previously untreated, high-risk LACC (FIGO 2014 stage IB2</w:t>
      </w:r>
      <w:r w:rsidRPr="0000742F">
        <w:rPr>
          <w:rFonts w:eastAsia="Calibri"/>
          <w:sz w:val="20"/>
          <w:szCs w:val="20"/>
          <w:lang w:val="en-IE"/>
        </w:rPr>
        <w:t>‒</w:t>
      </w:r>
      <w:r w:rsidRPr="0000742F">
        <w:rPr>
          <w:sz w:val="20"/>
          <w:szCs w:val="20"/>
          <w:lang w:val="en-IE"/>
        </w:rPr>
        <w:t>IIB node-positive or stage III</w:t>
      </w:r>
      <w:r w:rsidRPr="0000742F">
        <w:rPr>
          <w:rFonts w:eastAsia="Calibri"/>
          <w:sz w:val="20"/>
          <w:szCs w:val="20"/>
          <w:lang w:val="en-IE"/>
        </w:rPr>
        <w:t>‒</w:t>
      </w:r>
      <w:r w:rsidRPr="0000742F">
        <w:rPr>
          <w:sz w:val="20"/>
          <w:szCs w:val="20"/>
          <w:lang w:val="en-IE"/>
        </w:rPr>
        <w:t xml:space="preserve">IVA) were randomized 1:1 to 5 cycles of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200 mg or </w:t>
      </w:r>
      <w:proofErr w:type="spellStart"/>
      <w:r w:rsidRPr="0000742F">
        <w:rPr>
          <w:sz w:val="20"/>
          <w:szCs w:val="20"/>
          <w:lang w:val="en-IE"/>
        </w:rPr>
        <w:t>pbo</w:t>
      </w:r>
      <w:proofErr w:type="spellEnd"/>
      <w:r w:rsidRPr="0000742F">
        <w:rPr>
          <w:sz w:val="20"/>
          <w:szCs w:val="20"/>
          <w:lang w:val="en-IE"/>
        </w:rPr>
        <w:t xml:space="preserve"> Q3W + CCRT, then 15 cycles of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400 mg or </w:t>
      </w:r>
      <w:proofErr w:type="spellStart"/>
      <w:r w:rsidRPr="0000742F">
        <w:rPr>
          <w:sz w:val="20"/>
          <w:szCs w:val="20"/>
          <w:lang w:val="en-IE"/>
        </w:rPr>
        <w:t>pbo</w:t>
      </w:r>
      <w:proofErr w:type="spellEnd"/>
      <w:r w:rsidRPr="0000742F">
        <w:rPr>
          <w:sz w:val="20"/>
          <w:szCs w:val="20"/>
          <w:lang w:val="en-IE"/>
        </w:rPr>
        <w:t xml:space="preserve"> Q6W. CCRT included 5 cycles (optional 6th dose) of cisplatin 40 mg/m</w:t>
      </w:r>
      <w:r w:rsidRPr="0000742F">
        <w:rPr>
          <w:sz w:val="20"/>
          <w:szCs w:val="20"/>
          <w:vertAlign w:val="superscript"/>
          <w:lang w:val="en-IE"/>
        </w:rPr>
        <w:t xml:space="preserve">2 </w:t>
      </w:r>
      <w:r w:rsidRPr="0000742F">
        <w:rPr>
          <w:sz w:val="20"/>
          <w:szCs w:val="20"/>
          <w:lang w:val="en-IE"/>
        </w:rPr>
        <w:t>QW + EBRT followed by brachytherapy. Safety was evaluated in all randomized and treated pts.</w:t>
      </w:r>
    </w:p>
    <w:p w:rsidR="001B30C2" w:rsidRPr="0000742F" w:rsidRDefault="001B30C2" w:rsidP="00C01B32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1B30C2" w:rsidRPr="0000742F" w:rsidRDefault="001B30C2" w:rsidP="00C01B32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1B30C2" w:rsidRPr="0000742F" w:rsidRDefault="001B30C2" w:rsidP="00C01B32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79472A" w:rsidRPr="0000742F" w:rsidRDefault="00D22048" w:rsidP="00C01B32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00742F">
        <w:rPr>
          <w:rFonts w:eastAsia="Calibri"/>
          <w:b/>
          <w:sz w:val="20"/>
          <w:szCs w:val="20"/>
          <w:lang w:val="en-IE"/>
        </w:rPr>
        <w:t>Results:</w:t>
      </w:r>
      <w:r w:rsidRPr="0000742F">
        <w:rPr>
          <w:rFonts w:eastAsia="Calibri"/>
          <w:sz w:val="20"/>
          <w:szCs w:val="20"/>
          <w:lang w:val="en-IE"/>
        </w:rPr>
        <w:t xml:space="preserve"> </w:t>
      </w:r>
      <w:r w:rsidRPr="0000742F">
        <w:rPr>
          <w:sz w:val="20"/>
          <w:szCs w:val="20"/>
          <w:lang w:val="en-IE"/>
        </w:rPr>
        <w:t xml:space="preserve">Of 1060 randomized pts, 1058 were included in the safety analysis. At data </w:t>
      </w:r>
      <w:proofErr w:type="spellStart"/>
      <w:r w:rsidRPr="0000742F">
        <w:rPr>
          <w:sz w:val="20"/>
          <w:szCs w:val="20"/>
          <w:lang w:val="en-IE"/>
        </w:rPr>
        <w:t>cutoff</w:t>
      </w:r>
      <w:proofErr w:type="spellEnd"/>
      <w:r w:rsidRPr="0000742F">
        <w:rPr>
          <w:sz w:val="20"/>
          <w:szCs w:val="20"/>
          <w:lang w:val="en-IE"/>
        </w:rPr>
        <w:t xml:space="preserve"> (Jan 9, 2023), median follow-up was 17.9 mo. AE rates were similar between the treatment arms (see the Table). AEs were more common during the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+ CCRT combination therapy phase vs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monotherapy phase. Exposure-adjusted AE rates generally decreased after 3 </w:t>
      </w:r>
      <w:proofErr w:type="spellStart"/>
      <w:r w:rsidRPr="0000742F">
        <w:rPr>
          <w:sz w:val="20"/>
          <w:szCs w:val="20"/>
          <w:lang w:val="en-IE"/>
        </w:rPr>
        <w:t>mo</w:t>
      </w:r>
      <w:proofErr w:type="spellEnd"/>
      <w:r w:rsidRPr="0000742F">
        <w:rPr>
          <w:sz w:val="20"/>
          <w:szCs w:val="20"/>
          <w:lang w:val="en-IE"/>
        </w:rPr>
        <w:t xml:space="preserve">; hypothyroidism was most common between 3-6 </w:t>
      </w:r>
      <w:proofErr w:type="spellStart"/>
      <w:r w:rsidRPr="0000742F">
        <w:rPr>
          <w:sz w:val="20"/>
          <w:szCs w:val="20"/>
          <w:lang w:val="en-IE"/>
        </w:rPr>
        <w:t>mo</w:t>
      </w:r>
      <w:proofErr w:type="spellEnd"/>
      <w:r w:rsidRPr="0000742F">
        <w:rPr>
          <w:sz w:val="20"/>
          <w:szCs w:val="20"/>
          <w:lang w:val="en-IE"/>
        </w:rPr>
        <w:t xml:space="preserve"> with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+ CCRT. Event rates for genitourinary AEs were </w:t>
      </w:r>
      <w:r w:rsidRPr="0000742F">
        <w:rPr>
          <w:rFonts w:eastAsia="Calibri"/>
          <w:sz w:val="20"/>
          <w:szCs w:val="20"/>
          <w:lang w:val="en-IE"/>
        </w:rPr>
        <w:t xml:space="preserve">&lt; </w:t>
      </w:r>
      <w:r w:rsidRPr="0000742F">
        <w:rPr>
          <w:sz w:val="20"/>
          <w:szCs w:val="20"/>
          <w:lang w:val="en-IE"/>
        </w:rPr>
        <w:t>10.0 events per 100 person-months of exposure during any period.</w:t>
      </w:r>
    </w:p>
    <w:p w:rsidR="0079472A" w:rsidRPr="0000742F" w:rsidRDefault="00D22048" w:rsidP="00C01B32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00742F">
        <w:rPr>
          <w:rFonts w:eastAsia="Calibri"/>
          <w:b/>
          <w:sz w:val="20"/>
          <w:szCs w:val="20"/>
          <w:lang w:val="en-IE"/>
        </w:rPr>
        <w:t>Conclusion:</w:t>
      </w:r>
      <w:r w:rsidRPr="0000742F">
        <w:rPr>
          <w:rFonts w:eastAsia="Calibri"/>
          <w:sz w:val="20"/>
          <w:szCs w:val="20"/>
          <w:lang w:val="en-IE"/>
        </w:rPr>
        <w:t xml:space="preserve">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+ CCRT had manageable safety that was consistent with the known pro</w:t>
      </w:r>
      <w:r w:rsidRPr="0000742F">
        <w:rPr>
          <w:rFonts w:eastAsia="Calibri"/>
          <w:sz w:val="20"/>
          <w:szCs w:val="20"/>
          <w:lang w:val="en-IE"/>
        </w:rPr>
        <w:t>fi</w:t>
      </w:r>
      <w:r w:rsidRPr="0000742F">
        <w:rPr>
          <w:sz w:val="20"/>
          <w:szCs w:val="20"/>
          <w:lang w:val="en-IE"/>
        </w:rPr>
        <w:t xml:space="preserve">les of </w:t>
      </w:r>
      <w:proofErr w:type="spellStart"/>
      <w:r w:rsidRPr="0000742F">
        <w:rPr>
          <w:sz w:val="20"/>
          <w:szCs w:val="20"/>
          <w:lang w:val="en-IE"/>
        </w:rPr>
        <w:t>pembro</w:t>
      </w:r>
      <w:proofErr w:type="spellEnd"/>
      <w:r w:rsidRPr="0000742F">
        <w:rPr>
          <w:sz w:val="20"/>
          <w:szCs w:val="20"/>
          <w:lang w:val="en-IE"/>
        </w:rPr>
        <w:t xml:space="preserve"> monotherapy and chemoradiotherapy.</w:t>
      </w:r>
      <w:r w:rsidR="00C01B32" w:rsidRPr="0000742F">
        <w:rPr>
          <w:sz w:val="20"/>
          <w:szCs w:val="20"/>
          <w:lang w:val="en-IE"/>
        </w:rPr>
        <w:t xml:space="preserve"> </w:t>
      </w:r>
      <w:r w:rsidRPr="0000742F">
        <w:rPr>
          <w:sz w:val="20"/>
          <w:szCs w:val="20"/>
          <w:lang w:val="en-IE"/>
        </w:rPr>
        <w:t>Most AEs occurred during the combination therapy phase. Abstract</w:t>
      </w:r>
      <w:r w:rsidR="00A30C29" w:rsidRPr="0000742F">
        <w:rPr>
          <w:sz w:val="20"/>
          <w:szCs w:val="20"/>
          <w:lang w:val="en-IE"/>
        </w:rPr>
        <w:t>.</w:t>
      </w:r>
      <w:r w:rsidRPr="0000742F">
        <w:rPr>
          <w:sz w:val="20"/>
          <w:szCs w:val="20"/>
          <w:lang w:val="en-IE"/>
        </w:rPr>
        <w:t xml:space="preserve"> </w:t>
      </w:r>
    </w:p>
    <w:tbl>
      <w:tblPr>
        <w:tblStyle w:val="TableGrid"/>
        <w:tblpPr w:vertAnchor="text" w:horzAnchor="margin"/>
        <w:tblOverlap w:val="never"/>
        <w:tblW w:w="10042" w:type="dxa"/>
        <w:tblInd w:w="0" w:type="dxa"/>
        <w:tblCellMar>
          <w:top w:w="35" w:type="dxa"/>
          <w:right w:w="1" w:type="dxa"/>
        </w:tblCellMar>
        <w:tblLook w:val="04A0" w:firstRow="1" w:lastRow="0" w:firstColumn="1" w:lastColumn="0" w:noHBand="0" w:noVBand="1"/>
      </w:tblPr>
      <w:tblGrid>
        <w:gridCol w:w="10042"/>
      </w:tblGrid>
      <w:tr w:rsidR="0079472A" w:rsidRPr="0000742F">
        <w:trPr>
          <w:trHeight w:val="318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</w:tcPr>
          <w:p w:rsidR="0079472A" w:rsidRPr="0000742F" w:rsidRDefault="0079472A" w:rsidP="00C01B32">
            <w:pPr>
              <w:tabs>
                <w:tab w:val="right" w:pos="10042"/>
              </w:tabs>
              <w:spacing w:after="0" w:line="360" w:lineRule="auto"/>
              <w:ind w:left="0" w:right="0" w:firstLine="0"/>
              <w:jc w:val="left"/>
              <w:rPr>
                <w:sz w:val="20"/>
                <w:szCs w:val="20"/>
                <w:lang w:val="en-IE"/>
              </w:rPr>
            </w:pPr>
          </w:p>
        </w:tc>
      </w:tr>
    </w:tbl>
    <w:p w:rsidR="0079472A" w:rsidRPr="0000742F" w:rsidRDefault="0079472A" w:rsidP="00C01B32">
      <w:pPr>
        <w:pStyle w:val="Nadpis1"/>
        <w:spacing w:line="360" w:lineRule="auto"/>
        <w:ind w:left="0"/>
        <w:rPr>
          <w:sz w:val="20"/>
          <w:szCs w:val="20"/>
          <w:lang w:val="en-IE"/>
        </w:rPr>
      </w:pPr>
    </w:p>
    <w:sectPr w:rsidR="0079472A" w:rsidRPr="0000742F" w:rsidSect="00C01B32">
      <w:type w:val="continuous"/>
      <w:pgSz w:w="11520" w:h="15479"/>
      <w:pgMar w:top="638" w:right="1172" w:bottom="1560" w:left="1134" w:header="708" w:footer="708" w:gutter="0"/>
      <w:cols w:space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2A"/>
    <w:rsid w:val="0000742F"/>
    <w:rsid w:val="00165450"/>
    <w:rsid w:val="001B30C2"/>
    <w:rsid w:val="0021768B"/>
    <w:rsid w:val="00314ED5"/>
    <w:rsid w:val="004A454F"/>
    <w:rsid w:val="0079472A"/>
    <w:rsid w:val="00862FB6"/>
    <w:rsid w:val="008A05F2"/>
    <w:rsid w:val="0092576B"/>
    <w:rsid w:val="00A20C0B"/>
    <w:rsid w:val="00A23B36"/>
    <w:rsid w:val="00A30C29"/>
    <w:rsid w:val="00A35901"/>
    <w:rsid w:val="00A46AE5"/>
    <w:rsid w:val="00B83758"/>
    <w:rsid w:val="00C01B32"/>
    <w:rsid w:val="00D22048"/>
    <w:rsid w:val="00DE25A8"/>
    <w:rsid w:val="00F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DFA5"/>
  <w15:docId w15:val="{CA710FED-5A6C-423C-A02C-6E942B37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71" w:lineRule="auto"/>
      <w:ind w:left="53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"/>
      <w:ind w:left="52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3B8C-F978-4D00-9D4C-30FC0BA9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19</cp:revision>
  <cp:lastPrinted>2024-11-11T08:57:00Z</cp:lastPrinted>
  <dcterms:created xsi:type="dcterms:W3CDTF">2024-11-11T08:01:00Z</dcterms:created>
  <dcterms:modified xsi:type="dcterms:W3CDTF">2024-11-11T11:18:00Z</dcterms:modified>
</cp:coreProperties>
</file>