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66" w:rsidRPr="00357966" w:rsidRDefault="00357966" w:rsidP="0035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20"/>
        <w:rPr>
          <w:rFonts w:ascii="Times New Roman" w:hAnsi="Times New Roman" w:cs="Times New Roman"/>
          <w:b/>
          <w:lang w:val="en-US"/>
        </w:rPr>
      </w:pPr>
      <w:r w:rsidRPr="00357966">
        <w:rPr>
          <w:rFonts w:ascii="Times New Roman" w:hAnsi="Times New Roman" w:cs="Times New Roman"/>
          <w:b/>
          <w:lang w:val="en-US"/>
        </w:rPr>
        <w:t>A Phase 3 Trial of Pelvic Radiation Therapy Versus Vaginal Cuff Brachytherapy Followed by Paclitaxel/Carboplatin Chemothera</w:t>
      </w:r>
      <w:r w:rsidR="002E04B9">
        <w:rPr>
          <w:rFonts w:ascii="Times New Roman" w:hAnsi="Times New Roman" w:cs="Times New Roman"/>
          <w:b/>
          <w:lang w:val="en-US"/>
        </w:rPr>
        <w:t>py in Patients with High-Risk</w:t>
      </w:r>
      <w:proofErr w:type="gramStart"/>
      <w:r w:rsidR="002E04B9">
        <w:rPr>
          <w:rFonts w:ascii="Times New Roman" w:hAnsi="Times New Roman" w:cs="Times New Roman"/>
          <w:b/>
          <w:lang w:val="en-US"/>
        </w:rPr>
        <w:t xml:space="preserve">,  </w:t>
      </w:r>
      <w:r w:rsidRPr="00357966">
        <w:rPr>
          <w:rFonts w:ascii="Times New Roman" w:hAnsi="Times New Roman" w:cs="Times New Roman"/>
          <w:b/>
          <w:lang w:val="en-US"/>
        </w:rPr>
        <w:t>Ear</w:t>
      </w:r>
      <w:r w:rsidR="002E04B9">
        <w:rPr>
          <w:rFonts w:ascii="Times New Roman" w:hAnsi="Times New Roman" w:cs="Times New Roman"/>
          <w:b/>
          <w:lang w:val="en-US"/>
        </w:rPr>
        <w:t>ly</w:t>
      </w:r>
      <w:proofErr w:type="gramEnd"/>
      <w:r w:rsidR="002E04B9">
        <w:rPr>
          <w:rFonts w:ascii="Times New Roman" w:hAnsi="Times New Roman" w:cs="Times New Roman"/>
          <w:b/>
          <w:lang w:val="en-US"/>
        </w:rPr>
        <w:t xml:space="preserve">-Stage Endometrial Cancer: A  </w:t>
      </w:r>
      <w:r w:rsidRPr="00357966">
        <w:rPr>
          <w:rFonts w:ascii="Times New Roman" w:hAnsi="Times New Roman" w:cs="Times New Roman"/>
          <w:b/>
          <w:lang w:val="en-US"/>
        </w:rPr>
        <w:t xml:space="preserve">Gynecology Oncology Group Study </w:t>
      </w:r>
    </w:p>
    <w:p w:rsidR="00357966" w:rsidRPr="00357966" w:rsidRDefault="00357966" w:rsidP="0035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357966">
        <w:rPr>
          <w:rFonts w:ascii="Times New Roman" w:hAnsi="Times New Roman" w:cs="Times New Roman"/>
          <w:sz w:val="20"/>
          <w:szCs w:val="20"/>
          <w:lang w:val="en-US"/>
        </w:rPr>
        <w:t>M. Randall,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1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V. </w:t>
      </w:r>
      <w:proofErr w:type="spellStart"/>
      <w:r w:rsidRPr="00357966">
        <w:rPr>
          <w:rFonts w:ascii="Times New Roman" w:hAnsi="Times New Roman" w:cs="Times New Roman"/>
          <w:sz w:val="20"/>
          <w:szCs w:val="20"/>
          <w:lang w:val="en-US"/>
        </w:rPr>
        <w:t>Filiaci</w:t>
      </w:r>
      <w:proofErr w:type="spellEnd"/>
      <w:r w:rsidRPr="0035796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2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Pr="00357966">
        <w:rPr>
          <w:rFonts w:ascii="Times New Roman" w:hAnsi="Times New Roman" w:cs="Times New Roman"/>
          <w:sz w:val="20"/>
          <w:szCs w:val="20"/>
          <w:lang w:val="en-US"/>
        </w:rPr>
        <w:t>McMeekin</w:t>
      </w:r>
      <w:proofErr w:type="spellEnd"/>
      <w:r w:rsidRPr="0035796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3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C.M. </w:t>
      </w:r>
      <w:proofErr w:type="spellStart"/>
      <w:r w:rsidRPr="00357966">
        <w:rPr>
          <w:rFonts w:ascii="Times New Roman" w:hAnsi="Times New Roman" w:cs="Times New Roman"/>
          <w:sz w:val="20"/>
          <w:szCs w:val="20"/>
          <w:lang w:val="en-US"/>
        </w:rPr>
        <w:t>Yashar</w:t>
      </w:r>
      <w:proofErr w:type="spellEnd"/>
      <w:r w:rsidRPr="0035796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4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R. </w:t>
      </w:r>
      <w:proofErr w:type="spellStart"/>
      <w:r w:rsidRPr="00357966">
        <w:rPr>
          <w:rFonts w:ascii="Times New Roman" w:hAnsi="Times New Roman" w:cs="Times New Roman"/>
          <w:sz w:val="20"/>
          <w:szCs w:val="20"/>
          <w:lang w:val="en-US"/>
        </w:rPr>
        <w:t>Mannel</w:t>
      </w:r>
      <w:proofErr w:type="spellEnd"/>
      <w:r w:rsidRPr="00357966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R. </w:t>
      </w:r>
      <w:proofErr w:type="spellStart"/>
      <w:r w:rsidRPr="00357966">
        <w:rPr>
          <w:rFonts w:ascii="Times New Roman" w:hAnsi="Times New Roman" w:cs="Times New Roman"/>
          <w:sz w:val="20"/>
          <w:szCs w:val="20"/>
          <w:lang w:val="en-US"/>
        </w:rPr>
        <w:t>Salani</w:t>
      </w:r>
      <w:proofErr w:type="spellEnd"/>
      <w:r w:rsidRPr="0035796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10662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 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P. </w:t>
      </w:r>
      <w:proofErr w:type="spellStart"/>
      <w:r w:rsidRPr="00357966">
        <w:rPr>
          <w:rFonts w:ascii="Times New Roman" w:hAnsi="Times New Roman" w:cs="Times New Roman"/>
          <w:sz w:val="20"/>
          <w:szCs w:val="20"/>
          <w:lang w:val="en-US"/>
        </w:rPr>
        <w:t>DiSilvestro</w:t>
      </w:r>
      <w:proofErr w:type="spellEnd"/>
      <w:r w:rsidRPr="0035796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6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>J. Burke,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7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>T. Rutherford,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8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N. </w:t>
      </w:r>
      <w:proofErr w:type="spellStart"/>
      <w:r w:rsidRPr="00357966">
        <w:rPr>
          <w:rFonts w:ascii="Times New Roman" w:hAnsi="Times New Roman" w:cs="Times New Roman"/>
          <w:sz w:val="20"/>
          <w:szCs w:val="20"/>
          <w:lang w:val="en-US"/>
        </w:rPr>
        <w:t>Spirtos</w:t>
      </w:r>
      <w:proofErr w:type="spellEnd"/>
      <w:r w:rsidRPr="0035796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9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>J. Cho,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>10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>J. Kim,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>11</w:t>
      </w:r>
      <w:r w:rsidRPr="00357966">
        <w:rPr>
          <w:rFonts w:ascii="Times New Roman" w:hAnsi="Times New Roman" w:cs="Times New Roman"/>
          <w:position w:val="10"/>
          <w:sz w:val="20"/>
          <w:szCs w:val="20"/>
          <w:lang w:val="en-US"/>
        </w:rPr>
        <w:t>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12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>P. Anderson,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13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>W. Brewster,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14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>W. Small,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15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>M. Carney,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16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 C. </w:t>
      </w:r>
      <w:proofErr w:type="spellStart"/>
      <w:r w:rsidRPr="00357966">
        <w:rPr>
          <w:rFonts w:ascii="Times New Roman" w:hAnsi="Times New Roman" w:cs="Times New Roman"/>
          <w:sz w:val="20"/>
          <w:szCs w:val="20"/>
          <w:lang w:val="en-US"/>
        </w:rPr>
        <w:t>Aghajanian</w:t>
      </w:r>
      <w:proofErr w:type="spellEnd"/>
      <w:r w:rsidRPr="0035796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 xml:space="preserve">17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>and D.S. Miller</w:t>
      </w:r>
      <w:r w:rsidRPr="00357966">
        <w:rPr>
          <w:rFonts w:ascii="Times New Roman" w:hAnsi="Times New Roman" w:cs="Times New Roman"/>
          <w:color w:val="0D6B9B"/>
          <w:position w:val="10"/>
          <w:sz w:val="20"/>
          <w:szCs w:val="20"/>
          <w:lang w:val="en-US"/>
        </w:rPr>
        <w:t>18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:rsidR="00357966" w:rsidRPr="00357966" w:rsidRDefault="00357966" w:rsidP="0035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1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University of Kentucky, Lexington, KY,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2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NRG Oncology Statistics and Data Management Center, Buffalo, NY,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3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University of Oklahoma, Oklahoma City, OK,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4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University of California San Diego, San Diego, CA,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5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Ohio State University, Columbus, OH,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6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Brown University, Providence, RI,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7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Memorial University, Savannah, GA,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8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Yale Gynecologic Oncology, New Haven, CT,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9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Women’s Cancer Center of Nevada, Las Vegas, NV,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10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University of Hawaii, Honolulu, HI,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11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Seoul National University, Seoul, Korea, Republic of (South),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12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Korean Gynecologic Oncology Group, Seoul, Korea, Republic of (South),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13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Fox Chase Cancer Center, Philadelphia, PA,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14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University of North Carolina, Chapel Hill, NC,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15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Loyola University Medical Center, Maywood, IL, 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16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University of Hawaii Cancer Center, Honolulu, HI,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17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 xml:space="preserve">Memorial Sloan Kettering Cancer Center, New York, NY, </w:t>
      </w:r>
      <w:r w:rsidRPr="00CA5776">
        <w:rPr>
          <w:rFonts w:ascii="Times New Roman" w:hAnsi="Times New Roman" w:cs="Times New Roman"/>
          <w:i/>
          <w:position w:val="10"/>
          <w:sz w:val="20"/>
          <w:szCs w:val="20"/>
          <w:lang w:val="en-US"/>
        </w:rPr>
        <w:t>18</w:t>
      </w:r>
      <w:r w:rsidRPr="00CA5776">
        <w:rPr>
          <w:rFonts w:ascii="Times New Roman" w:hAnsi="Times New Roman" w:cs="Times New Roman"/>
          <w:i/>
          <w:sz w:val="20"/>
          <w:szCs w:val="20"/>
          <w:lang w:val="en-US"/>
        </w:rPr>
        <w:t>University of Texas- Southwestern, Dallas, TX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A5776" w:rsidRDefault="00CA5776" w:rsidP="0035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:rsidR="00357966" w:rsidRPr="00357966" w:rsidRDefault="00357966" w:rsidP="00603C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CA5776">
        <w:rPr>
          <w:rFonts w:ascii="Times New Roman" w:hAnsi="Times New Roman" w:cs="Times New Roman"/>
          <w:b/>
          <w:sz w:val="20"/>
          <w:szCs w:val="20"/>
          <w:lang w:val="en-US"/>
        </w:rPr>
        <w:t>Purpose/Objective(s):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 To determine if vaginal cuff brachytherapy and   chemotherapy (VCB/C) could increase recurrence-free survival (RFS) compared to pelvic external beam radiation therapy (PXRT). Secondary objectives included comparisons of overall survival (OS), patterns of failure, and frequency/severity of adverse even</w:t>
      </w:r>
      <w:r w:rsidR="002E04B9">
        <w:rPr>
          <w:rFonts w:ascii="Times New Roman" w:hAnsi="Times New Roman" w:cs="Times New Roman"/>
          <w:sz w:val="20"/>
          <w:szCs w:val="20"/>
          <w:lang w:val="en-US"/>
        </w:rPr>
        <w:t xml:space="preserve">ts between the treatment arms. </w:t>
      </w:r>
    </w:p>
    <w:p w:rsidR="00357966" w:rsidRPr="00357966" w:rsidRDefault="00357966" w:rsidP="00603C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CA5776">
        <w:rPr>
          <w:rFonts w:ascii="Times New Roman" w:hAnsi="Times New Roman" w:cs="Times New Roman"/>
          <w:b/>
          <w:sz w:val="20"/>
          <w:szCs w:val="20"/>
          <w:lang w:val="en-US"/>
        </w:rPr>
        <w:t>Materials/Methods: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 A randomized phas</w:t>
      </w:r>
      <w:r>
        <w:rPr>
          <w:rFonts w:ascii="Times New Roman" w:hAnsi="Times New Roman" w:cs="Times New Roman"/>
          <w:sz w:val="20"/>
          <w:szCs w:val="20"/>
          <w:lang w:val="en-US"/>
        </w:rPr>
        <w:t>e 3 trial was performed in endo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metrial cancer patients meeting eligibility criteria. All patients were required to undergo hysterectomy. Eligible patients had stage I </w:t>
      </w:r>
      <w:proofErr w:type="spellStart"/>
      <w:r w:rsidRPr="00357966">
        <w:rPr>
          <w:rFonts w:ascii="Times New Roman" w:hAnsi="Times New Roman" w:cs="Times New Roman"/>
          <w:sz w:val="20"/>
          <w:szCs w:val="20"/>
          <w:lang w:val="en-US"/>
        </w:rPr>
        <w:t>endometrioid</w:t>
      </w:r>
      <w:proofErr w:type="spellEnd"/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 histology with GOG 99-based high intermediate risk criteria (based on age, tumor grade, depth of invasion, and presence of </w:t>
      </w:r>
      <w:proofErr w:type="spellStart"/>
      <w:r w:rsidRPr="00357966">
        <w:rPr>
          <w:rFonts w:ascii="Times New Roman" w:hAnsi="Times New Roman" w:cs="Times New Roman"/>
          <w:sz w:val="20"/>
          <w:szCs w:val="20"/>
          <w:lang w:val="en-US"/>
        </w:rPr>
        <w:t>lymphovascular</w:t>
      </w:r>
      <w:proofErr w:type="spellEnd"/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 space invasion), stage II, or stage I-II serous (S) or clear cell (CC) tumors. Central pathology review was performed. </w:t>
      </w:r>
      <w:r w:rsidR="002E04B9">
        <w:rPr>
          <w:rFonts w:ascii="Times New Roman" w:hAnsi="Times New Roman" w:cs="Times New Roman"/>
          <w:sz w:val="20"/>
          <w:szCs w:val="20"/>
          <w:lang w:val="en-US"/>
        </w:rPr>
        <w:t xml:space="preserve">Patients assigned to PXRT were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treated with standard 4-field or Intensity-Modulated Radiation Therapy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IMRT) techniques to a mean dose of 45 </w:t>
      </w:r>
      <w:proofErr w:type="spellStart"/>
      <w:r w:rsidRPr="00357966">
        <w:rPr>
          <w:rFonts w:ascii="Times New Roman" w:hAnsi="Times New Roman" w:cs="Times New Roman"/>
          <w:sz w:val="20"/>
          <w:szCs w:val="20"/>
          <w:lang w:val="en-US"/>
        </w:rPr>
        <w:t>Gy</w:t>
      </w:r>
      <w:proofErr w:type="spellEnd"/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 over 5 weeks. Additional VCB was optional for patients with S/CC tumors or stage II disease. Patients assigned to VCB/C received HDR or LDR brachytherapy followed by paclitaxel 175 mg/m2 (3 hour) + carboplatin AUC 6 q 21</w:t>
      </w:r>
      <w:r w:rsidR="002E04B9">
        <w:rPr>
          <w:rFonts w:ascii="Times New Roman" w:hAnsi="Times New Roman" w:cs="Times New Roman"/>
          <w:sz w:val="20"/>
          <w:szCs w:val="20"/>
          <w:lang w:val="en-US"/>
        </w:rPr>
        <w:t xml:space="preserve"> days for a total of 3 cycles. </w:t>
      </w:r>
    </w:p>
    <w:p w:rsidR="00B029DE" w:rsidRPr="00B029DE" w:rsidRDefault="00357966" w:rsidP="00603C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CA5776">
        <w:rPr>
          <w:rFonts w:ascii="Times New Roman" w:hAnsi="Times New Roman" w:cs="Times New Roman"/>
          <w:b/>
          <w:sz w:val="20"/>
          <w:szCs w:val="20"/>
          <w:lang w:val="en-US"/>
        </w:rPr>
        <w:t>Results: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 A total of 601 pts were accrued; PXRT was assigned to 301 (18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did not receive study treatment) and VCB/C to 300 (9 did not receive study treatment). The median age was 63 years,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74% had stage I disease, and 89% underwent lymphadenectomy. Histology included 71% with </w:t>
      </w:r>
      <w:proofErr w:type="spellStart"/>
      <w:r w:rsidRPr="00357966">
        <w:rPr>
          <w:rFonts w:ascii="Times New Roman" w:hAnsi="Times New Roman" w:cs="Times New Roman"/>
          <w:sz w:val="20"/>
          <w:szCs w:val="20"/>
          <w:lang w:val="en-US"/>
        </w:rPr>
        <w:t>endometrioid</w:t>
      </w:r>
      <w:proofErr w:type="spellEnd"/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 type, 15% S, and 5% CC. Nearly all pts co</w:t>
      </w:r>
      <w:r w:rsidR="002E04B9">
        <w:rPr>
          <w:rFonts w:ascii="Times New Roman" w:hAnsi="Times New Roman" w:cs="Times New Roman"/>
          <w:sz w:val="20"/>
          <w:szCs w:val="20"/>
          <w:lang w:val="en-US"/>
        </w:rPr>
        <w:t xml:space="preserve">mpleted the prescribed </w:t>
      </w:r>
      <w:r w:rsidRPr="00357966">
        <w:rPr>
          <w:rFonts w:ascii="Times New Roman" w:hAnsi="Times New Roman" w:cs="Times New Roman"/>
          <w:sz w:val="20"/>
          <w:szCs w:val="20"/>
          <w:lang w:val="en-US"/>
        </w:rPr>
        <w:t xml:space="preserve">therapy (91% PXRT, 87% VCB/C). In the PXRT arm, IMRT was used in 36%, and vaginal cuff brachytherapy boost was added in approximately 35%. Acute toxicity was more common and more severe with VCB/C. Grade 3 or higher adverse events were reported in 32 patients on the PXRT arm versus 187 patients on the VCB/C arm. Grade 3 or higher late effects </w:t>
      </w:r>
      <w:r w:rsidR="00B029DE" w:rsidRPr="00B029DE">
        <w:rPr>
          <w:rFonts w:ascii="Times New Roman" w:hAnsi="Times New Roman" w:cs="Times New Roman"/>
          <w:sz w:val="20"/>
          <w:szCs w:val="20"/>
          <w:lang w:val="en-US"/>
        </w:rPr>
        <w:t xml:space="preserve">were seen in 37 and 35 patients on the PXRT and VCB/C arms, respectively. With a median follow-up of 53 months, the 36 month RFS was 82% for both PXRT and VCB/C. The 36-month OS was 91% versus 88% for PXRT and VCB/C, respectively. No significant differences were noted between the two arms in terms of vaginal or distant failure. However, pelvic or </w:t>
      </w:r>
      <w:proofErr w:type="spellStart"/>
      <w:r w:rsidR="00B029DE" w:rsidRPr="00B029DE">
        <w:rPr>
          <w:rFonts w:ascii="Times New Roman" w:hAnsi="Times New Roman" w:cs="Times New Roman"/>
          <w:sz w:val="20"/>
          <w:szCs w:val="20"/>
          <w:lang w:val="en-US"/>
        </w:rPr>
        <w:t>para</w:t>
      </w:r>
      <w:proofErr w:type="spellEnd"/>
      <w:r w:rsidR="00B029DE" w:rsidRPr="00B029DE">
        <w:rPr>
          <w:rFonts w:ascii="Times New Roman" w:hAnsi="Times New Roman" w:cs="Times New Roman"/>
          <w:sz w:val="20"/>
          <w:szCs w:val="20"/>
          <w:lang w:val="en-US"/>
        </w:rPr>
        <w:t xml:space="preserve">-aortic nodal recurrences were significantly more common in the VCB/C arm (25 </w:t>
      </w:r>
      <w:proofErr w:type="spellStart"/>
      <w:r w:rsidR="00B029DE" w:rsidRPr="00B029DE">
        <w:rPr>
          <w:rFonts w:ascii="Times New Roman" w:hAnsi="Times New Roman" w:cs="Times New Roman"/>
          <w:sz w:val="20"/>
          <w:szCs w:val="20"/>
          <w:lang w:val="en-US"/>
        </w:rPr>
        <w:t>vs</w:t>
      </w:r>
      <w:proofErr w:type="spellEnd"/>
      <w:r w:rsidR="00B029DE" w:rsidRPr="00B029DE">
        <w:rPr>
          <w:rFonts w:ascii="Times New Roman" w:hAnsi="Times New Roman" w:cs="Times New Roman"/>
          <w:sz w:val="20"/>
          <w:szCs w:val="20"/>
          <w:lang w:val="en-US"/>
        </w:rPr>
        <w:t xml:space="preserve"> 12), </w:t>
      </w:r>
      <w:bookmarkStart w:id="0" w:name="_GoBack"/>
      <w:r w:rsidR="00B029DE" w:rsidRPr="00B029DE">
        <w:rPr>
          <w:rFonts w:ascii="Times New Roman" w:hAnsi="Times New Roman" w:cs="Times New Roman"/>
          <w:sz w:val="20"/>
          <w:szCs w:val="20"/>
          <w:lang w:val="en-US"/>
        </w:rPr>
        <w:t xml:space="preserve">largely driven by the difference in pelvic nodal failure (20 </w:t>
      </w:r>
      <w:proofErr w:type="spellStart"/>
      <w:r w:rsidR="00B029DE" w:rsidRPr="00B029DE">
        <w:rPr>
          <w:rFonts w:ascii="Times New Roman" w:hAnsi="Times New Roman" w:cs="Times New Roman"/>
          <w:sz w:val="20"/>
          <w:szCs w:val="20"/>
          <w:lang w:val="en-US"/>
        </w:rPr>
        <w:t>vs</w:t>
      </w:r>
      <w:proofErr w:type="spellEnd"/>
      <w:r w:rsidR="00B029DE" w:rsidRPr="00B029DE">
        <w:rPr>
          <w:rFonts w:ascii="Times New Roman" w:hAnsi="Times New Roman" w:cs="Times New Roman"/>
          <w:sz w:val="20"/>
          <w:szCs w:val="20"/>
          <w:lang w:val="en-US"/>
        </w:rPr>
        <w:t xml:space="preserve"> 6 patients). There was no statistically significant treatment effect heterogeneity with respect to RFS among clinical-pathologic variables evaluated. </w:t>
      </w:r>
      <w:bookmarkEnd w:id="0"/>
    </w:p>
    <w:p w:rsidR="00B029DE" w:rsidRPr="00B029DE" w:rsidRDefault="00B029DE" w:rsidP="00B029DE">
      <w:pPr>
        <w:widowControl w:val="0"/>
        <w:autoSpaceDE w:val="0"/>
        <w:autoSpaceDN w:val="0"/>
        <w:adjustRightInd w:val="0"/>
        <w:spacing w:after="240" w:line="360" w:lineRule="auto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CA5776">
        <w:rPr>
          <w:rFonts w:ascii="Times New Roman" w:hAnsi="Times New Roman" w:cs="Times New Roman"/>
          <w:b/>
          <w:sz w:val="20"/>
          <w:szCs w:val="20"/>
          <w:lang w:val="en-US"/>
        </w:rPr>
        <w:t>Conclusion:</w:t>
      </w:r>
      <w:r w:rsidRPr="00B029DE">
        <w:rPr>
          <w:rFonts w:ascii="Times New Roman" w:hAnsi="Times New Roman" w:cs="Times New Roman"/>
          <w:sz w:val="20"/>
          <w:szCs w:val="20"/>
          <w:lang w:val="en-US"/>
        </w:rPr>
        <w:t xml:space="preserve"> This study did not demonstrate a superiority of VCB/C to PXRT in women with HR endometrial cancer. Acute and late toxicity and pelvic and </w:t>
      </w:r>
      <w:proofErr w:type="spellStart"/>
      <w:r w:rsidRPr="00B029DE">
        <w:rPr>
          <w:rFonts w:ascii="Times New Roman" w:hAnsi="Times New Roman" w:cs="Times New Roman"/>
          <w:sz w:val="20"/>
          <w:szCs w:val="20"/>
          <w:lang w:val="en-US"/>
        </w:rPr>
        <w:t>para</w:t>
      </w:r>
      <w:proofErr w:type="spellEnd"/>
      <w:r w:rsidRPr="00B029DE">
        <w:rPr>
          <w:rFonts w:ascii="Times New Roman" w:hAnsi="Times New Roman" w:cs="Times New Roman"/>
          <w:sz w:val="20"/>
          <w:szCs w:val="20"/>
          <w:lang w:val="en-US"/>
        </w:rPr>
        <w:t xml:space="preserve">-aortic nodal failure were more frequent in the VCB/C arm. Both arms appeared to be well tolerated with high completion rates. PXRT remains an effective, well-tolerated, and acceptable adjuvant treatment in patients with high risk, early-stage endometrial carcinoma. </w:t>
      </w:r>
    </w:p>
    <w:p w:rsidR="00B029DE" w:rsidRPr="00B029DE" w:rsidRDefault="00B029DE" w:rsidP="00B029DE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sectPr w:rsidR="00B029DE" w:rsidRPr="00B029DE" w:rsidSect="00603C5B">
      <w:pgSz w:w="12240" w:h="15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>
    <w:useFELayout/>
  </w:compat>
  <w:rsids>
    <w:rsidRoot w:val="00357966"/>
    <w:rsid w:val="001F110E"/>
    <w:rsid w:val="002E04B9"/>
    <w:rsid w:val="00357966"/>
    <w:rsid w:val="00603C5B"/>
    <w:rsid w:val="00610662"/>
    <w:rsid w:val="00872253"/>
    <w:rsid w:val="009F7029"/>
    <w:rsid w:val="00B029DE"/>
    <w:rsid w:val="00CA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0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9D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9DE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9D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D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DA2A9-2B8D-4542-A4C7-28523860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Admin</cp:lastModifiedBy>
  <cp:revision>6</cp:revision>
  <dcterms:created xsi:type="dcterms:W3CDTF">2017-10-23T05:56:00Z</dcterms:created>
  <dcterms:modified xsi:type="dcterms:W3CDTF">2017-11-01T10:48:00Z</dcterms:modified>
</cp:coreProperties>
</file>